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D08C7" w14:textId="3F83B2E7" w:rsidR="00F46D04" w:rsidRPr="00F46D04" w:rsidRDefault="00CF4EBA" w:rsidP="0041129D">
      <w:pPr>
        <w:spacing w:after="160" w:line="259" w:lineRule="auto"/>
        <w:jc w:val="center"/>
        <w:rPr>
          <w:rFonts w:asciiTheme="minorHAnsi" w:hAnsiTheme="minorHAnsi" w:cstheme="minorHAnsi"/>
          <w:b/>
          <w:u w:val="single"/>
        </w:rPr>
      </w:pPr>
      <w:r>
        <w:rPr>
          <w:rFonts w:asciiTheme="minorHAnsi" w:hAnsiTheme="minorHAnsi" w:cstheme="minorHAnsi"/>
          <w:b/>
          <w:u w:val="single"/>
        </w:rPr>
        <w:br w:type="page"/>
      </w:r>
      <w:r w:rsidR="00F46D04" w:rsidRPr="00F46D04">
        <w:rPr>
          <w:rFonts w:asciiTheme="minorHAnsi" w:hAnsiTheme="minorHAnsi" w:cstheme="minorHAnsi"/>
          <w:b/>
          <w:u w:val="single"/>
        </w:rPr>
        <w:lastRenderedPageBreak/>
        <w:t>THE 202</w:t>
      </w:r>
      <w:r w:rsidR="00451B14">
        <w:rPr>
          <w:rFonts w:asciiTheme="minorHAnsi" w:hAnsiTheme="minorHAnsi" w:cstheme="minorHAnsi"/>
          <w:b/>
          <w:u w:val="single"/>
        </w:rPr>
        <w:t>4</w:t>
      </w:r>
      <w:r w:rsidR="00F46D04" w:rsidRPr="00F46D04">
        <w:rPr>
          <w:rFonts w:asciiTheme="minorHAnsi" w:hAnsiTheme="minorHAnsi" w:cstheme="minorHAnsi"/>
          <w:b/>
          <w:u w:val="single"/>
        </w:rPr>
        <w:t xml:space="preserve"> ATIXA ONE POLICY, </w:t>
      </w:r>
      <w:r w:rsidR="00FD7242">
        <w:rPr>
          <w:rFonts w:asciiTheme="minorHAnsi" w:hAnsiTheme="minorHAnsi" w:cstheme="minorHAnsi"/>
          <w:b/>
          <w:u w:val="single"/>
        </w:rPr>
        <w:t>ON</w:t>
      </w:r>
      <w:r w:rsidR="009E7908">
        <w:rPr>
          <w:rFonts w:asciiTheme="minorHAnsi" w:hAnsiTheme="minorHAnsi" w:cstheme="minorHAnsi"/>
          <w:b/>
          <w:u w:val="single"/>
        </w:rPr>
        <w:t>E</w:t>
      </w:r>
      <w:r w:rsidR="00FD7242" w:rsidRPr="00F46D04">
        <w:rPr>
          <w:rFonts w:asciiTheme="minorHAnsi" w:hAnsiTheme="minorHAnsi" w:cstheme="minorHAnsi"/>
          <w:b/>
          <w:u w:val="single"/>
        </w:rPr>
        <w:t xml:space="preserve"> </w:t>
      </w:r>
      <w:r w:rsidR="00F46D04" w:rsidRPr="00F46D04">
        <w:rPr>
          <w:rFonts w:asciiTheme="minorHAnsi" w:hAnsiTheme="minorHAnsi" w:cstheme="minorHAnsi"/>
          <w:b/>
          <w:u w:val="single"/>
        </w:rPr>
        <w:t>PROCEDURE (1P</w:t>
      </w:r>
      <w:r w:rsidR="00FD7242">
        <w:rPr>
          <w:rFonts w:asciiTheme="minorHAnsi" w:hAnsiTheme="minorHAnsi" w:cstheme="minorHAnsi"/>
          <w:b/>
          <w:u w:val="single"/>
        </w:rPr>
        <w:t>1</w:t>
      </w:r>
      <w:r w:rsidR="00F46D04" w:rsidRPr="00F46D04">
        <w:rPr>
          <w:rFonts w:asciiTheme="minorHAnsi" w:hAnsiTheme="minorHAnsi" w:cstheme="minorHAnsi"/>
          <w:b/>
          <w:u w:val="single"/>
        </w:rPr>
        <w:t>P) MODEL</w:t>
      </w:r>
    </w:p>
    <w:p w14:paraId="45F6982E" w14:textId="77777777" w:rsidR="00F46D04" w:rsidRDefault="00F46D04" w:rsidP="00F46D04">
      <w:pPr>
        <w:jc w:val="center"/>
        <w:rPr>
          <w:rFonts w:asciiTheme="minorHAnsi" w:hAnsiTheme="minorHAnsi" w:cstheme="minorHAnsi"/>
          <w:b/>
          <w:i/>
        </w:rPr>
      </w:pPr>
    </w:p>
    <w:p w14:paraId="2038E70B" w14:textId="3A731B50" w:rsidR="00F46D04" w:rsidRPr="00F46D04" w:rsidRDefault="00FF3055" w:rsidP="00F46D04">
      <w:pPr>
        <w:jc w:val="center"/>
        <w:rPr>
          <w:rFonts w:asciiTheme="minorHAnsi" w:hAnsiTheme="minorHAnsi" w:cstheme="minorHAnsi"/>
          <w:b/>
          <w:i/>
        </w:rPr>
      </w:pPr>
      <w:r>
        <w:rPr>
          <w:rFonts w:asciiTheme="minorHAnsi" w:hAnsiTheme="minorHAnsi" w:cstheme="minorHAnsi"/>
          <w:b/>
          <w:i/>
        </w:rPr>
        <w:t xml:space="preserve">Version 1.0 </w:t>
      </w:r>
      <w:r w:rsidR="00F46D04" w:rsidRPr="00F46D04">
        <w:rPr>
          <w:rFonts w:asciiTheme="minorHAnsi" w:hAnsiTheme="minorHAnsi" w:cstheme="minorHAnsi"/>
          <w:b/>
          <w:i/>
        </w:rPr>
        <w:t xml:space="preserve">Published </w:t>
      </w:r>
      <w:r w:rsidR="002A63EE">
        <w:rPr>
          <w:rFonts w:asciiTheme="minorHAnsi" w:hAnsiTheme="minorHAnsi" w:cstheme="minorHAnsi"/>
          <w:b/>
          <w:i/>
        </w:rPr>
        <w:t>Spring 202</w:t>
      </w:r>
      <w:r w:rsidR="004448B8">
        <w:rPr>
          <w:rFonts w:asciiTheme="minorHAnsi" w:hAnsiTheme="minorHAnsi" w:cstheme="minorHAnsi"/>
          <w:b/>
          <w:i/>
        </w:rPr>
        <w:t>4</w:t>
      </w:r>
    </w:p>
    <w:p w14:paraId="42044BAA" w14:textId="77777777" w:rsidR="00F46D04" w:rsidRPr="00F46D04" w:rsidRDefault="00F46D04" w:rsidP="00F46D04">
      <w:pPr>
        <w:jc w:val="center"/>
        <w:rPr>
          <w:rFonts w:asciiTheme="minorHAnsi" w:hAnsiTheme="minorHAnsi" w:cstheme="minorHAnsi"/>
          <w:b/>
          <w:i/>
        </w:rPr>
      </w:pPr>
    </w:p>
    <w:p w14:paraId="39D79B37" w14:textId="6CEBAC45" w:rsidR="00F46D04" w:rsidRPr="00F46D04" w:rsidRDefault="00F46D04" w:rsidP="00F46D04">
      <w:pPr>
        <w:jc w:val="center"/>
        <w:rPr>
          <w:rFonts w:asciiTheme="minorHAnsi" w:hAnsiTheme="minorHAnsi" w:cstheme="minorHAnsi"/>
        </w:rPr>
      </w:pPr>
      <w:r w:rsidRPr="00F46D04">
        <w:rPr>
          <w:rFonts w:asciiTheme="minorHAnsi" w:hAnsiTheme="minorHAnsi" w:cstheme="minorHAnsi"/>
          <w:b/>
          <w:i/>
        </w:rPr>
        <w:t xml:space="preserve">THE </w:t>
      </w:r>
      <w:r w:rsidR="00FF3055">
        <w:rPr>
          <w:rFonts w:asciiTheme="minorHAnsi" w:hAnsiTheme="minorHAnsi" w:cstheme="minorHAnsi"/>
          <w:b/>
          <w:i/>
        </w:rPr>
        <w:t>MODEL</w:t>
      </w:r>
      <w:r w:rsidR="00FF3055" w:rsidRPr="00F46D04">
        <w:rPr>
          <w:rFonts w:asciiTheme="minorHAnsi" w:hAnsiTheme="minorHAnsi" w:cstheme="minorHAnsi"/>
          <w:b/>
          <w:i/>
        </w:rPr>
        <w:t xml:space="preserve"> </w:t>
      </w:r>
      <w:r w:rsidRPr="00F46D04">
        <w:rPr>
          <w:rFonts w:asciiTheme="minorHAnsi" w:hAnsiTheme="minorHAnsi" w:cstheme="minorHAnsi"/>
          <w:b/>
          <w:i/>
        </w:rPr>
        <w:t xml:space="preserve">MAY STILL BE REVIEWED AND REVISED FOR COMPLIANCE WITH </w:t>
      </w:r>
      <w:r w:rsidR="00FF3055">
        <w:rPr>
          <w:rFonts w:asciiTheme="minorHAnsi" w:hAnsiTheme="minorHAnsi" w:cstheme="minorHAnsi"/>
          <w:b/>
          <w:i/>
        </w:rPr>
        <w:t xml:space="preserve">APPLICABLE LAW </w:t>
      </w:r>
      <w:r w:rsidRPr="00F46D04">
        <w:rPr>
          <w:rFonts w:asciiTheme="minorHAnsi" w:hAnsiTheme="minorHAnsi" w:cstheme="minorHAnsi"/>
          <w:b/>
          <w:i/>
        </w:rPr>
        <w:t xml:space="preserve">AS ADDITIONAL GUIDANCE IS PROVIDED BY </w:t>
      </w:r>
      <w:r w:rsidR="00237DD8">
        <w:rPr>
          <w:rFonts w:asciiTheme="minorHAnsi" w:hAnsiTheme="minorHAnsi" w:cstheme="minorHAnsi"/>
          <w:b/>
          <w:i/>
        </w:rPr>
        <w:t xml:space="preserve">FEDERAL AGENCIES </w:t>
      </w:r>
      <w:r w:rsidRPr="00F46D04">
        <w:rPr>
          <w:rFonts w:asciiTheme="minorHAnsi" w:hAnsiTheme="minorHAnsi" w:cstheme="minorHAnsi"/>
          <w:b/>
          <w:i/>
        </w:rPr>
        <w:t xml:space="preserve">OR THROUGH CASE LAW </w:t>
      </w:r>
    </w:p>
    <w:p w14:paraId="1F6A5A62" w14:textId="77777777" w:rsidR="00F46D04" w:rsidRPr="00F46D04" w:rsidRDefault="00F46D04" w:rsidP="00F46D04">
      <w:pPr>
        <w:jc w:val="center"/>
        <w:rPr>
          <w:rFonts w:asciiTheme="minorHAnsi" w:hAnsiTheme="minorHAnsi" w:cstheme="minorHAnsi"/>
        </w:rPr>
      </w:pPr>
    </w:p>
    <w:p w14:paraId="4E1A2D6E" w14:textId="591B79A5" w:rsidR="00F46D04" w:rsidRPr="00F46D04" w:rsidRDefault="00F46D04" w:rsidP="00F46D04">
      <w:pPr>
        <w:jc w:val="center"/>
        <w:rPr>
          <w:rFonts w:asciiTheme="minorHAnsi" w:hAnsiTheme="minorHAnsi" w:cstheme="minorHAnsi"/>
        </w:rPr>
      </w:pPr>
      <w:r w:rsidRPr="00F46D04">
        <w:rPr>
          <w:rFonts w:asciiTheme="minorHAnsi" w:hAnsiTheme="minorHAnsi" w:cstheme="minorHAnsi"/>
        </w:rPr>
        <w:t>AUTHORED BY</w:t>
      </w:r>
      <w:r w:rsidR="00533913">
        <w:rPr>
          <w:rFonts w:asciiTheme="minorHAnsi" w:hAnsiTheme="minorHAnsi" w:cstheme="minorHAnsi"/>
        </w:rPr>
        <w:t xml:space="preserve"> ATIXA</w:t>
      </w:r>
    </w:p>
    <w:p w14:paraId="3DB10488" w14:textId="77777777" w:rsidR="00F46D04" w:rsidRPr="00F46D04" w:rsidRDefault="00F46D04" w:rsidP="00ED3CAB">
      <w:pPr>
        <w:rPr>
          <w:rFonts w:asciiTheme="minorHAnsi" w:hAnsiTheme="minorHAnsi" w:cstheme="minorHAnsi"/>
        </w:rPr>
      </w:pPr>
    </w:p>
    <w:p w14:paraId="08BAA437" w14:textId="3A227238" w:rsidR="00CE60ED" w:rsidRPr="00F46D04" w:rsidRDefault="00963DF3" w:rsidP="00F46D04">
      <w:pPr>
        <w:jc w:val="center"/>
        <w:rPr>
          <w:rFonts w:asciiTheme="minorHAnsi" w:hAnsiTheme="minorHAnsi" w:cstheme="minorHAnsi"/>
        </w:rPr>
      </w:pPr>
      <w:r w:rsidRPr="00F46D04">
        <w:rPr>
          <w:rFonts w:asciiTheme="minorHAnsi" w:hAnsiTheme="minorHAnsi" w:cstheme="minorHAnsi"/>
        </w:rPr>
        <w:t>This copy of the 1</w:t>
      </w:r>
      <w:r>
        <w:rPr>
          <w:rFonts w:asciiTheme="minorHAnsi" w:hAnsiTheme="minorHAnsi" w:cstheme="minorHAnsi"/>
        </w:rPr>
        <w:t>P1P</w:t>
      </w:r>
      <w:r w:rsidRPr="00F46D04">
        <w:rPr>
          <w:rFonts w:asciiTheme="minorHAnsi" w:hAnsiTheme="minorHAnsi" w:cstheme="minorHAnsi"/>
        </w:rPr>
        <w:t xml:space="preserve"> model is provided free of charge </w:t>
      </w:r>
      <w:r>
        <w:rPr>
          <w:rFonts w:asciiTheme="minorHAnsi" w:hAnsiTheme="minorHAnsi" w:cstheme="minorHAnsi"/>
        </w:rPr>
        <w:t xml:space="preserve">to members </w:t>
      </w:r>
      <w:r w:rsidRPr="00F46D04">
        <w:rPr>
          <w:rFonts w:asciiTheme="minorHAnsi" w:hAnsiTheme="minorHAnsi" w:cstheme="minorHAnsi"/>
        </w:rPr>
        <w:t xml:space="preserve">by </w:t>
      </w:r>
      <w:r>
        <w:rPr>
          <w:rFonts w:asciiTheme="minorHAnsi" w:hAnsiTheme="minorHAnsi" w:cstheme="minorHAnsi"/>
        </w:rPr>
        <w:t>ATIXA</w:t>
      </w:r>
      <w:r w:rsidR="00CE60ED">
        <w:rPr>
          <w:rFonts w:asciiTheme="minorHAnsi" w:hAnsiTheme="minorHAnsi" w:cstheme="minorHAnsi"/>
        </w:rPr>
        <w:t xml:space="preserve"> and licensed to purchasers</w:t>
      </w:r>
      <w:r w:rsidRPr="00F46D04">
        <w:rPr>
          <w:rFonts w:asciiTheme="minorHAnsi" w:hAnsiTheme="minorHAnsi" w:cstheme="minorHAnsi"/>
        </w:rPr>
        <w:t xml:space="preserve">. Users accept this template at their own risk, receive no assurance of compliance, and </w:t>
      </w:r>
      <w:r>
        <w:rPr>
          <w:rFonts w:asciiTheme="minorHAnsi" w:hAnsiTheme="minorHAnsi" w:cstheme="minorHAnsi"/>
        </w:rPr>
        <w:t xml:space="preserve">by adopting this model, </w:t>
      </w:r>
      <w:r w:rsidRPr="00F46D04">
        <w:rPr>
          <w:rFonts w:asciiTheme="minorHAnsi" w:hAnsiTheme="minorHAnsi" w:cstheme="minorHAnsi"/>
        </w:rPr>
        <w:t xml:space="preserve">expressly agree to indemnify </w:t>
      </w:r>
      <w:r>
        <w:rPr>
          <w:rFonts w:asciiTheme="minorHAnsi" w:hAnsiTheme="minorHAnsi" w:cstheme="minorHAnsi"/>
        </w:rPr>
        <w:t xml:space="preserve">TNG Consulting </w:t>
      </w:r>
      <w:r w:rsidRPr="00F46D04">
        <w:rPr>
          <w:rFonts w:asciiTheme="minorHAnsi" w:hAnsiTheme="minorHAnsi" w:cstheme="minorHAnsi"/>
        </w:rPr>
        <w:t xml:space="preserve">and </w:t>
      </w:r>
      <w:r>
        <w:rPr>
          <w:rFonts w:asciiTheme="minorHAnsi" w:hAnsiTheme="minorHAnsi" w:cstheme="minorHAnsi"/>
        </w:rPr>
        <w:t>ATIXA</w:t>
      </w:r>
      <w:r w:rsidRPr="00F46D04">
        <w:rPr>
          <w:rFonts w:asciiTheme="minorHAnsi" w:hAnsiTheme="minorHAnsi" w:cstheme="minorHAnsi"/>
        </w:rPr>
        <w:t xml:space="preserve"> for any liability related to its use, accuracy, implementation, or adaptation.</w:t>
      </w:r>
      <w:r w:rsidR="00833FAD">
        <w:rPr>
          <w:rFonts w:asciiTheme="minorHAnsi" w:hAnsiTheme="minorHAnsi" w:cstheme="minorHAnsi"/>
        </w:rPr>
        <w:t xml:space="preserve"> </w:t>
      </w:r>
      <w:r w:rsidRPr="00F46D04">
        <w:rPr>
          <w:rFonts w:asciiTheme="minorHAnsi" w:hAnsiTheme="minorHAnsi" w:cstheme="minorHAnsi"/>
        </w:rPr>
        <w:t xml:space="preserve">This model is offered without any </w:t>
      </w:r>
      <w:proofErr w:type="gramStart"/>
      <w:r w:rsidRPr="00F46D04">
        <w:rPr>
          <w:rFonts w:asciiTheme="minorHAnsi" w:hAnsiTheme="minorHAnsi" w:cstheme="minorHAnsi"/>
        </w:rPr>
        <w:t>guarantees</w:t>
      </w:r>
      <w:proofErr w:type="gramEnd"/>
      <w:r w:rsidRPr="00F46D04">
        <w:rPr>
          <w:rFonts w:asciiTheme="minorHAnsi" w:hAnsiTheme="minorHAnsi" w:cstheme="minorHAnsi"/>
        </w:rPr>
        <w:t xml:space="preserve"> of compliance with any laws. Always consult legal counsel before adopting policies and procedures.</w:t>
      </w:r>
    </w:p>
    <w:p w14:paraId="5FEA9A31" w14:textId="77777777" w:rsidR="00F46D04" w:rsidRPr="00F46D04" w:rsidRDefault="00F46D04" w:rsidP="00ED3CAB">
      <w:pPr>
        <w:jc w:val="center"/>
        <w:rPr>
          <w:rFonts w:asciiTheme="minorHAnsi" w:hAnsiTheme="minorHAnsi" w:cstheme="minorHAnsi"/>
        </w:rPr>
      </w:pPr>
    </w:p>
    <w:p w14:paraId="490AC683" w14:textId="344C887C" w:rsidR="008E3517" w:rsidRDefault="00F46D04" w:rsidP="00ED3CAB">
      <w:pPr>
        <w:pBdr>
          <w:top w:val="nil"/>
          <w:left w:val="nil"/>
          <w:bottom w:val="nil"/>
          <w:right w:val="nil"/>
          <w:between w:val="nil"/>
        </w:pBdr>
        <w:jc w:val="center"/>
        <w:rPr>
          <w:rFonts w:asciiTheme="minorHAnsi" w:hAnsiTheme="minorHAnsi" w:cstheme="minorHAnsi"/>
          <w:color w:val="000000"/>
        </w:rPr>
      </w:pPr>
      <w:r w:rsidRPr="000406BD">
        <w:rPr>
          <w:rFonts w:asciiTheme="minorHAnsi" w:hAnsiTheme="minorHAnsi" w:cstheme="minorHAnsi"/>
          <w:color w:val="000000"/>
        </w:rPr>
        <w:t>©</w:t>
      </w:r>
      <w:r w:rsidR="00FF3055" w:rsidRPr="000406BD">
        <w:rPr>
          <w:rFonts w:asciiTheme="minorHAnsi" w:hAnsiTheme="minorHAnsi" w:cstheme="minorHAnsi"/>
          <w:color w:val="000000"/>
        </w:rPr>
        <w:t xml:space="preserve">JUNE </w:t>
      </w:r>
      <w:r w:rsidR="00433C08" w:rsidRPr="000406BD">
        <w:rPr>
          <w:rFonts w:asciiTheme="minorHAnsi" w:hAnsiTheme="minorHAnsi" w:cstheme="minorHAnsi"/>
          <w:color w:val="000000"/>
        </w:rPr>
        <w:t>202</w:t>
      </w:r>
      <w:r w:rsidR="009E7908" w:rsidRPr="000406BD">
        <w:rPr>
          <w:rFonts w:asciiTheme="minorHAnsi" w:hAnsiTheme="minorHAnsi" w:cstheme="minorHAnsi"/>
          <w:color w:val="000000"/>
        </w:rPr>
        <w:t>4</w:t>
      </w:r>
      <w:r w:rsidRPr="00F46D04">
        <w:rPr>
          <w:rFonts w:asciiTheme="minorHAnsi" w:hAnsiTheme="minorHAnsi" w:cstheme="minorHAnsi"/>
          <w:color w:val="000000"/>
        </w:rPr>
        <w:t xml:space="preserve"> ATIXA. USE AND ADAPTATION PERMITTED</w:t>
      </w:r>
      <w:r w:rsidR="00533913">
        <w:rPr>
          <w:rFonts w:asciiTheme="minorHAnsi" w:hAnsiTheme="minorHAnsi" w:cstheme="minorHAnsi"/>
          <w:color w:val="000000"/>
        </w:rPr>
        <w:t xml:space="preserve"> TO MEMBERS</w:t>
      </w:r>
      <w:r w:rsidR="003C7330">
        <w:rPr>
          <w:rFonts w:asciiTheme="minorHAnsi" w:hAnsiTheme="minorHAnsi" w:cstheme="minorHAnsi"/>
          <w:color w:val="000000"/>
        </w:rPr>
        <w:t xml:space="preserve"> AND PURCHASERS</w:t>
      </w:r>
      <w:r w:rsidRPr="00F46D04">
        <w:rPr>
          <w:rFonts w:asciiTheme="minorHAnsi" w:hAnsiTheme="minorHAnsi" w:cstheme="minorHAnsi"/>
          <w:color w:val="000000"/>
        </w:rPr>
        <w:t>.</w:t>
      </w:r>
      <w:r w:rsidR="00533913">
        <w:rPr>
          <w:rFonts w:asciiTheme="minorHAnsi" w:hAnsiTheme="minorHAnsi" w:cstheme="minorHAnsi"/>
          <w:color w:val="000000"/>
        </w:rPr>
        <w:t xml:space="preserve"> </w:t>
      </w:r>
    </w:p>
    <w:p w14:paraId="462A2F1B" w14:textId="65BE1A7B" w:rsidR="00F46D04" w:rsidRDefault="00533913" w:rsidP="00CE60ED">
      <w:pPr>
        <w:pBdr>
          <w:top w:val="nil"/>
          <w:left w:val="nil"/>
          <w:bottom w:val="nil"/>
          <w:right w:val="nil"/>
          <w:between w:val="nil"/>
        </w:pBdr>
        <w:jc w:val="center"/>
        <w:rPr>
          <w:rFonts w:asciiTheme="minorHAnsi" w:hAnsiTheme="minorHAnsi" w:cstheme="minorHAnsi"/>
          <w:color w:val="000000"/>
        </w:rPr>
      </w:pPr>
      <w:r>
        <w:rPr>
          <w:rFonts w:asciiTheme="minorHAnsi" w:hAnsiTheme="minorHAnsi" w:cstheme="minorHAnsi"/>
          <w:color w:val="000000"/>
        </w:rPr>
        <w:t>ALL OTHER RIGHTS RESERVED.</w:t>
      </w:r>
    </w:p>
    <w:p w14:paraId="6433AF6C" w14:textId="77777777" w:rsidR="00CE60ED" w:rsidRDefault="00CE60ED" w:rsidP="00ED3CAB">
      <w:pPr>
        <w:pBdr>
          <w:top w:val="nil"/>
          <w:left w:val="nil"/>
          <w:bottom w:val="nil"/>
          <w:right w:val="nil"/>
          <w:between w:val="nil"/>
        </w:pBdr>
        <w:jc w:val="center"/>
        <w:rPr>
          <w:rFonts w:asciiTheme="minorHAnsi" w:hAnsiTheme="minorHAnsi" w:cstheme="minorHAnsi"/>
          <w:color w:val="000000"/>
        </w:rPr>
      </w:pPr>
    </w:p>
    <w:p w14:paraId="127CC633" w14:textId="03BF7018" w:rsidR="008E3517" w:rsidRDefault="00F46D04" w:rsidP="00ED3CAB">
      <w:pPr>
        <w:spacing w:after="160" w:line="259" w:lineRule="auto"/>
        <w:rPr>
          <w:rFonts w:asciiTheme="minorHAnsi" w:hAnsiTheme="minorHAnsi" w:cstheme="minorHAnsi"/>
          <w:color w:val="000000"/>
        </w:rPr>
      </w:pPr>
      <w:r w:rsidRPr="00F46D04">
        <w:rPr>
          <w:rFonts w:asciiTheme="minorHAnsi" w:hAnsiTheme="minorHAnsi" w:cstheme="minorHAnsi"/>
          <w:color w:val="000000"/>
        </w:rPr>
        <w:t>1P</w:t>
      </w:r>
      <w:r w:rsidR="00FD7242">
        <w:rPr>
          <w:rFonts w:asciiTheme="minorHAnsi" w:hAnsiTheme="minorHAnsi" w:cstheme="minorHAnsi"/>
          <w:color w:val="000000"/>
        </w:rPr>
        <w:t>1</w:t>
      </w:r>
      <w:r w:rsidRPr="00F46D04">
        <w:rPr>
          <w:rFonts w:asciiTheme="minorHAnsi" w:hAnsiTheme="minorHAnsi" w:cstheme="minorHAnsi"/>
          <w:color w:val="000000"/>
        </w:rPr>
        <w:t xml:space="preserve">P is a unified policy and procedure </w:t>
      </w:r>
      <w:r w:rsidR="00FF3055">
        <w:rPr>
          <w:rFonts w:asciiTheme="minorHAnsi" w:hAnsiTheme="minorHAnsi" w:cstheme="minorHAnsi"/>
          <w:color w:val="000000"/>
        </w:rPr>
        <w:t xml:space="preserve">model </w:t>
      </w:r>
      <w:r w:rsidRPr="00F46D04">
        <w:rPr>
          <w:rFonts w:asciiTheme="minorHAnsi" w:hAnsiTheme="minorHAnsi" w:cstheme="minorHAnsi"/>
          <w:color w:val="000000"/>
        </w:rPr>
        <w:t xml:space="preserve">for the resolution of all allegations of all forms of </w:t>
      </w:r>
      <w:r w:rsidR="00FD7242">
        <w:rPr>
          <w:rFonts w:asciiTheme="minorHAnsi" w:hAnsiTheme="minorHAnsi" w:cstheme="minorHAnsi"/>
          <w:color w:val="000000"/>
        </w:rPr>
        <w:t xml:space="preserve">protected characteristic </w:t>
      </w:r>
      <w:r w:rsidRPr="00F46D04">
        <w:rPr>
          <w:rFonts w:asciiTheme="minorHAnsi" w:hAnsiTheme="minorHAnsi" w:cstheme="minorHAnsi"/>
          <w:color w:val="000000"/>
        </w:rPr>
        <w:t xml:space="preserve">discrimination </w:t>
      </w:r>
      <w:r w:rsidR="002A1C42">
        <w:rPr>
          <w:rFonts w:asciiTheme="minorHAnsi" w:hAnsiTheme="minorHAnsi" w:cstheme="minorHAnsi"/>
          <w:color w:val="000000"/>
        </w:rPr>
        <w:t xml:space="preserve">defined herein </w:t>
      </w:r>
      <w:r w:rsidRPr="00F46D04">
        <w:rPr>
          <w:rFonts w:asciiTheme="minorHAnsi" w:hAnsiTheme="minorHAnsi" w:cstheme="minorHAnsi"/>
          <w:color w:val="000000"/>
        </w:rPr>
        <w:t xml:space="preserve">involving all </w:t>
      </w:r>
      <w:r w:rsidR="008E3517">
        <w:rPr>
          <w:rFonts w:asciiTheme="minorHAnsi" w:hAnsiTheme="minorHAnsi" w:cstheme="minorHAnsi"/>
          <w:color w:val="000000"/>
        </w:rPr>
        <w:t xml:space="preserve">qualified </w:t>
      </w:r>
      <w:r w:rsidR="0002078C">
        <w:rPr>
          <w:rFonts w:asciiTheme="minorHAnsi" w:hAnsiTheme="minorHAnsi" w:cstheme="minorHAnsi"/>
          <w:color w:val="000000"/>
        </w:rPr>
        <w:t>Respondents</w:t>
      </w:r>
      <w:r w:rsidRPr="00F46D04">
        <w:rPr>
          <w:rFonts w:asciiTheme="minorHAnsi" w:hAnsiTheme="minorHAnsi" w:cstheme="minorHAnsi"/>
          <w:color w:val="000000"/>
        </w:rPr>
        <w:t xml:space="preserve">. This model policy and </w:t>
      </w:r>
      <w:r w:rsidR="008E3517">
        <w:rPr>
          <w:rFonts w:asciiTheme="minorHAnsi" w:hAnsiTheme="minorHAnsi" w:cstheme="minorHAnsi"/>
          <w:color w:val="000000"/>
        </w:rPr>
        <w:t xml:space="preserve">the separate </w:t>
      </w:r>
      <w:r w:rsidRPr="00F46D04">
        <w:rPr>
          <w:rFonts w:asciiTheme="minorHAnsi" w:hAnsiTheme="minorHAnsi" w:cstheme="minorHAnsi"/>
          <w:color w:val="000000"/>
        </w:rPr>
        <w:t xml:space="preserve">procedures </w:t>
      </w:r>
      <w:r w:rsidR="008E3517">
        <w:rPr>
          <w:rFonts w:asciiTheme="minorHAnsi" w:hAnsiTheme="minorHAnsi" w:cstheme="minorHAnsi"/>
          <w:color w:val="000000"/>
        </w:rPr>
        <w:t xml:space="preserve">below </w:t>
      </w:r>
      <w:r w:rsidRPr="00F46D04">
        <w:rPr>
          <w:rFonts w:asciiTheme="minorHAnsi" w:hAnsiTheme="minorHAnsi" w:cstheme="minorHAnsi"/>
          <w:color w:val="000000"/>
        </w:rPr>
        <w:t xml:space="preserve">can be implemented </w:t>
      </w:r>
      <w:r w:rsidR="009E7908">
        <w:rPr>
          <w:rFonts w:asciiTheme="minorHAnsi" w:hAnsiTheme="minorHAnsi" w:cstheme="minorHAnsi"/>
          <w:color w:val="000000"/>
        </w:rPr>
        <w:t xml:space="preserve">by any </w:t>
      </w:r>
      <w:r w:rsidR="00FD7242">
        <w:rPr>
          <w:rFonts w:asciiTheme="minorHAnsi" w:hAnsiTheme="minorHAnsi" w:cstheme="minorHAnsi"/>
          <w:color w:val="000000"/>
        </w:rPr>
        <w:t>post-secondary institution</w:t>
      </w:r>
      <w:r w:rsidRPr="00F46D04">
        <w:rPr>
          <w:rFonts w:asciiTheme="minorHAnsi" w:hAnsiTheme="minorHAnsi" w:cstheme="minorHAnsi"/>
          <w:color w:val="000000"/>
        </w:rPr>
        <w:t xml:space="preserve">. </w:t>
      </w:r>
    </w:p>
    <w:p w14:paraId="5D5795D3" w14:textId="623BF6A6" w:rsidR="00F46D04" w:rsidRDefault="00F46D04" w:rsidP="00F46D04">
      <w:pPr>
        <w:pBdr>
          <w:top w:val="nil"/>
          <w:left w:val="nil"/>
          <w:bottom w:val="nil"/>
          <w:right w:val="nil"/>
          <w:between w:val="nil"/>
        </w:pBdr>
        <w:spacing w:before="280" w:after="280"/>
        <w:jc w:val="both"/>
        <w:rPr>
          <w:rFonts w:asciiTheme="minorHAnsi" w:hAnsiTheme="minorHAnsi" w:cstheme="minorHAnsi"/>
          <w:color w:val="000000"/>
        </w:rPr>
      </w:pPr>
      <w:r w:rsidRPr="00F46D04">
        <w:rPr>
          <w:rFonts w:asciiTheme="minorHAnsi" w:hAnsiTheme="minorHAnsi" w:cstheme="minorHAnsi"/>
          <w:color w:val="000000"/>
        </w:rPr>
        <w:t xml:space="preserve">ATIXA recognizes that schools vary in size, structure, governance, capacity, and resources and has drafted this model to comply with </w:t>
      </w:r>
      <w:r w:rsidR="00FD7242">
        <w:rPr>
          <w:rFonts w:asciiTheme="minorHAnsi" w:hAnsiTheme="minorHAnsi" w:cstheme="minorHAnsi"/>
          <w:color w:val="000000"/>
        </w:rPr>
        <w:t>all</w:t>
      </w:r>
      <w:r w:rsidR="00FD7242" w:rsidRPr="00F46D04">
        <w:rPr>
          <w:rFonts w:asciiTheme="minorHAnsi" w:hAnsiTheme="minorHAnsi" w:cstheme="minorHAnsi"/>
          <w:color w:val="000000"/>
        </w:rPr>
        <w:t xml:space="preserve"> </w:t>
      </w:r>
      <w:r w:rsidRPr="00F46D04">
        <w:rPr>
          <w:rFonts w:asciiTheme="minorHAnsi" w:hAnsiTheme="minorHAnsi" w:cstheme="minorHAnsi"/>
          <w:color w:val="000000"/>
        </w:rPr>
        <w:t xml:space="preserve">federal </w:t>
      </w:r>
      <w:r w:rsidR="00FD7242">
        <w:rPr>
          <w:rFonts w:asciiTheme="minorHAnsi" w:hAnsiTheme="minorHAnsi" w:cstheme="minorHAnsi"/>
          <w:color w:val="000000"/>
        </w:rPr>
        <w:t>nondiscrimination laws</w:t>
      </w:r>
      <w:r w:rsidR="004A1A46">
        <w:rPr>
          <w:rFonts w:asciiTheme="minorHAnsi" w:hAnsiTheme="minorHAnsi" w:cstheme="minorHAnsi"/>
          <w:color w:val="000000"/>
        </w:rPr>
        <w:t xml:space="preserve"> </w:t>
      </w:r>
      <w:r w:rsidR="008E3517">
        <w:rPr>
          <w:rFonts w:asciiTheme="minorHAnsi" w:hAnsiTheme="minorHAnsi" w:cstheme="minorHAnsi"/>
          <w:color w:val="000000"/>
        </w:rPr>
        <w:t xml:space="preserve">and </w:t>
      </w:r>
      <w:proofErr w:type="gramStart"/>
      <w:r w:rsidR="008E3517">
        <w:rPr>
          <w:rFonts w:asciiTheme="minorHAnsi" w:hAnsiTheme="minorHAnsi" w:cstheme="minorHAnsi"/>
          <w:color w:val="000000"/>
        </w:rPr>
        <w:t>implementing</w:t>
      </w:r>
      <w:proofErr w:type="gramEnd"/>
      <w:r w:rsidR="008E3517">
        <w:rPr>
          <w:rFonts w:asciiTheme="minorHAnsi" w:hAnsiTheme="minorHAnsi" w:cstheme="minorHAnsi"/>
          <w:color w:val="000000"/>
        </w:rPr>
        <w:t xml:space="preserve"> regulations </w:t>
      </w:r>
      <w:r w:rsidR="004A1A46">
        <w:rPr>
          <w:rFonts w:asciiTheme="minorHAnsi" w:hAnsiTheme="minorHAnsi" w:cstheme="minorHAnsi"/>
          <w:color w:val="000000"/>
        </w:rPr>
        <w:t>applicable to post-secondary education and employment</w:t>
      </w:r>
      <w:r w:rsidR="00FD7242">
        <w:rPr>
          <w:rFonts w:asciiTheme="minorHAnsi" w:hAnsiTheme="minorHAnsi" w:cstheme="minorHAnsi"/>
          <w:color w:val="000000"/>
        </w:rPr>
        <w:t>.</w:t>
      </w:r>
      <w:r w:rsidRPr="00F46D04">
        <w:rPr>
          <w:rFonts w:asciiTheme="minorHAnsi" w:hAnsiTheme="minorHAnsi" w:cstheme="minorHAnsi"/>
          <w:color w:val="000000"/>
        </w:rPr>
        <w:t xml:space="preserve"> </w:t>
      </w:r>
      <w:r w:rsidR="00337800">
        <w:rPr>
          <w:rFonts w:asciiTheme="minorHAnsi" w:hAnsiTheme="minorHAnsi" w:cstheme="minorHAnsi"/>
          <w:color w:val="000000"/>
        </w:rPr>
        <w:t xml:space="preserve">Of </w:t>
      </w:r>
      <w:proofErr w:type="gramStart"/>
      <w:r w:rsidR="00337800">
        <w:rPr>
          <w:rFonts w:asciiTheme="minorHAnsi" w:hAnsiTheme="minorHAnsi" w:cstheme="minorHAnsi"/>
          <w:color w:val="000000"/>
        </w:rPr>
        <w:t>particular note</w:t>
      </w:r>
      <w:proofErr w:type="gramEnd"/>
      <w:r w:rsidR="00337800">
        <w:rPr>
          <w:rFonts w:asciiTheme="minorHAnsi" w:hAnsiTheme="minorHAnsi" w:cstheme="minorHAnsi"/>
          <w:color w:val="000000"/>
        </w:rPr>
        <w:t>, this version has been specifically updated to incorporate the 2024 Title IX Regulations.</w:t>
      </w:r>
      <w:r w:rsidR="008E3517">
        <w:rPr>
          <w:rFonts w:asciiTheme="minorHAnsi" w:hAnsiTheme="minorHAnsi" w:cstheme="minorHAnsi"/>
          <w:color w:val="000000"/>
        </w:rPr>
        <w:t xml:space="preserve"> This version does not contain content specific to state or local laws or regulations that may be applicable. Each end-user should ensure that state and local provisions are included as </w:t>
      </w:r>
      <w:proofErr w:type="gramStart"/>
      <w:r w:rsidR="008E3517">
        <w:rPr>
          <w:rFonts w:asciiTheme="minorHAnsi" w:hAnsiTheme="minorHAnsi" w:cstheme="minorHAnsi"/>
          <w:color w:val="000000"/>
        </w:rPr>
        <w:t>necessary, or</w:t>
      </w:r>
      <w:proofErr w:type="gramEnd"/>
      <w:r w:rsidR="008E3517">
        <w:rPr>
          <w:rFonts w:asciiTheme="minorHAnsi" w:hAnsiTheme="minorHAnsi" w:cstheme="minorHAnsi"/>
          <w:color w:val="000000"/>
        </w:rPr>
        <w:t xml:space="preserve"> may commission ATIXA to create state-specific versions. </w:t>
      </w:r>
    </w:p>
    <w:p w14:paraId="15EA3A13" w14:textId="6F3EE56B" w:rsidR="006557EC" w:rsidRPr="00ED3CAB" w:rsidRDefault="006557EC" w:rsidP="00F46D04">
      <w:pPr>
        <w:pBdr>
          <w:top w:val="nil"/>
          <w:left w:val="nil"/>
          <w:bottom w:val="nil"/>
          <w:right w:val="nil"/>
          <w:between w:val="nil"/>
        </w:pBdr>
        <w:spacing w:before="280" w:after="280"/>
        <w:jc w:val="both"/>
        <w:rPr>
          <w:rFonts w:asciiTheme="minorHAnsi" w:hAnsiTheme="minorHAnsi" w:cstheme="minorHAnsi"/>
          <w:i/>
          <w:iCs/>
          <w:color w:val="000000"/>
        </w:rPr>
      </w:pPr>
      <w:r w:rsidRPr="00ED3CAB">
        <w:rPr>
          <w:rFonts w:asciiTheme="minorHAnsi" w:hAnsiTheme="minorHAnsi" w:cstheme="minorHAnsi"/>
          <w:i/>
          <w:iCs/>
          <w:color w:val="000000"/>
        </w:rPr>
        <w:t xml:space="preserve">Throughout this document, terms defined in the Glossary Appendix are treated as terms of </w:t>
      </w:r>
      <w:proofErr w:type="gramStart"/>
      <w:r w:rsidRPr="00ED3CAB">
        <w:rPr>
          <w:rFonts w:asciiTheme="minorHAnsi" w:hAnsiTheme="minorHAnsi" w:cstheme="minorHAnsi"/>
          <w:i/>
          <w:iCs/>
          <w:color w:val="000000"/>
        </w:rPr>
        <w:t>art, and</w:t>
      </w:r>
      <w:proofErr w:type="gramEnd"/>
      <w:r w:rsidRPr="00ED3CAB">
        <w:rPr>
          <w:rFonts w:asciiTheme="minorHAnsi" w:hAnsiTheme="minorHAnsi" w:cstheme="minorHAnsi"/>
          <w:i/>
          <w:iCs/>
          <w:color w:val="000000"/>
        </w:rPr>
        <w:t xml:space="preserve"> are thus capitalized when used throughout this document. </w:t>
      </w:r>
      <w:r w:rsidR="00E973A5" w:rsidRPr="00ED3CAB">
        <w:rPr>
          <w:rFonts w:asciiTheme="minorHAnsi" w:hAnsiTheme="minorHAnsi" w:cstheme="minorHAnsi"/>
          <w:i/>
          <w:iCs/>
          <w:color w:val="000000"/>
        </w:rPr>
        <w:t xml:space="preserve">Terms or sections in this document that are highlighted need to </w:t>
      </w:r>
      <w:r w:rsidR="00C67D12">
        <w:rPr>
          <w:rFonts w:asciiTheme="minorHAnsi" w:hAnsiTheme="minorHAnsi" w:cstheme="minorHAnsi"/>
          <w:i/>
          <w:iCs/>
          <w:color w:val="000000"/>
        </w:rPr>
        <w:t xml:space="preserve">be </w:t>
      </w:r>
      <w:r w:rsidR="00E973A5" w:rsidRPr="00ED3CAB">
        <w:rPr>
          <w:rFonts w:asciiTheme="minorHAnsi" w:hAnsiTheme="minorHAnsi" w:cstheme="minorHAnsi"/>
          <w:i/>
          <w:iCs/>
          <w:color w:val="000000"/>
        </w:rPr>
        <w:t xml:space="preserve">customized for your institution. Terms or sections that appear in brackets [ </w:t>
      </w:r>
      <w:proofErr w:type="gramStart"/>
      <w:r w:rsidR="00E973A5" w:rsidRPr="00ED3CAB">
        <w:rPr>
          <w:rFonts w:asciiTheme="minorHAnsi" w:hAnsiTheme="minorHAnsi" w:cstheme="minorHAnsi"/>
          <w:i/>
          <w:iCs/>
          <w:color w:val="000000"/>
        </w:rPr>
        <w:t xml:space="preserve">  ]</w:t>
      </w:r>
      <w:proofErr w:type="gramEnd"/>
      <w:r w:rsidR="00E973A5" w:rsidRPr="00ED3CAB">
        <w:rPr>
          <w:rFonts w:asciiTheme="minorHAnsi" w:hAnsiTheme="minorHAnsi" w:cstheme="minorHAnsi"/>
          <w:i/>
          <w:iCs/>
          <w:color w:val="000000"/>
        </w:rPr>
        <w:t xml:space="preserve"> contain optional language that you can choose to include or omit.</w:t>
      </w:r>
    </w:p>
    <w:p w14:paraId="004364C3" w14:textId="31722568" w:rsidR="00F46D04" w:rsidRPr="00F46D04" w:rsidRDefault="00F46D04" w:rsidP="00FF3055">
      <w:pPr>
        <w:pBdr>
          <w:top w:val="nil"/>
          <w:left w:val="nil"/>
          <w:bottom w:val="nil"/>
          <w:right w:val="nil"/>
          <w:between w:val="nil"/>
        </w:pBdr>
        <w:spacing w:before="280" w:after="280"/>
        <w:jc w:val="center"/>
        <w:rPr>
          <w:rFonts w:asciiTheme="minorHAnsi" w:hAnsiTheme="minorHAnsi" w:cstheme="minorHAnsi"/>
          <w:color w:val="000000"/>
        </w:rPr>
      </w:pPr>
      <w:r w:rsidRPr="00F46D04">
        <w:rPr>
          <w:rFonts w:asciiTheme="minorHAnsi" w:hAnsiTheme="minorHAnsi" w:cstheme="minorHAnsi"/>
          <w:b/>
          <w:bCs/>
          <w:color w:val="000000"/>
        </w:rPr>
        <w:t>THE FOLLOWING STATEMENT MUST APPEAR IN ANY PUBLISHED VERSION OF THIS MODEL USED BY AN INSTITUTION:</w:t>
      </w:r>
    </w:p>
    <w:p w14:paraId="347D39B9" w14:textId="250C6196" w:rsidR="00F46D04" w:rsidRPr="00F46D04" w:rsidRDefault="00F46D04" w:rsidP="00F46D04">
      <w:pPr>
        <w:pBdr>
          <w:top w:val="nil"/>
          <w:left w:val="nil"/>
          <w:bottom w:val="nil"/>
          <w:right w:val="nil"/>
          <w:between w:val="nil"/>
        </w:pBdr>
        <w:jc w:val="center"/>
        <w:rPr>
          <w:rFonts w:asciiTheme="minorHAnsi" w:hAnsiTheme="minorHAnsi" w:cstheme="minorHAnsi"/>
          <w:color w:val="000000"/>
        </w:rPr>
      </w:pPr>
      <w:r w:rsidRPr="00F46D04">
        <w:rPr>
          <w:rFonts w:asciiTheme="minorHAnsi" w:hAnsiTheme="minorHAnsi" w:cstheme="minorHAnsi"/>
          <w:color w:val="000000"/>
        </w:rPr>
        <w:t xml:space="preserve">BASED ON </w:t>
      </w:r>
      <w:proofErr w:type="gramStart"/>
      <w:r w:rsidRPr="00F46D04">
        <w:rPr>
          <w:rFonts w:asciiTheme="minorHAnsi" w:hAnsiTheme="minorHAnsi" w:cstheme="minorHAnsi"/>
          <w:color w:val="000000"/>
        </w:rPr>
        <w:t>THE ATIXA</w:t>
      </w:r>
      <w:proofErr w:type="gramEnd"/>
      <w:r w:rsidRPr="00F46D04">
        <w:rPr>
          <w:rFonts w:asciiTheme="minorHAnsi" w:hAnsiTheme="minorHAnsi" w:cstheme="minorHAnsi"/>
          <w:color w:val="000000"/>
        </w:rPr>
        <w:t xml:space="preserve"> </w:t>
      </w:r>
      <w:r w:rsidR="004A1A46" w:rsidRPr="00F46D04">
        <w:rPr>
          <w:rFonts w:asciiTheme="minorHAnsi" w:hAnsiTheme="minorHAnsi" w:cstheme="minorHAnsi"/>
          <w:color w:val="000000"/>
        </w:rPr>
        <w:t>202</w:t>
      </w:r>
      <w:r w:rsidR="004A1A46">
        <w:rPr>
          <w:rFonts w:asciiTheme="minorHAnsi" w:hAnsiTheme="minorHAnsi" w:cstheme="minorHAnsi"/>
          <w:color w:val="000000"/>
        </w:rPr>
        <w:t>4</w:t>
      </w:r>
      <w:r w:rsidR="004A1A46" w:rsidRPr="00F46D04">
        <w:rPr>
          <w:rFonts w:asciiTheme="minorHAnsi" w:hAnsiTheme="minorHAnsi" w:cstheme="minorHAnsi"/>
          <w:color w:val="000000"/>
        </w:rPr>
        <w:t xml:space="preserve"> </w:t>
      </w:r>
      <w:r w:rsidRPr="00F46D04">
        <w:rPr>
          <w:rFonts w:asciiTheme="minorHAnsi" w:hAnsiTheme="minorHAnsi" w:cstheme="minorHAnsi"/>
          <w:color w:val="000000"/>
        </w:rPr>
        <w:t xml:space="preserve">ONE POLICY, </w:t>
      </w:r>
      <w:r w:rsidR="004A1A46">
        <w:rPr>
          <w:rFonts w:asciiTheme="minorHAnsi" w:hAnsiTheme="minorHAnsi" w:cstheme="minorHAnsi"/>
          <w:color w:val="000000"/>
        </w:rPr>
        <w:t>ONE</w:t>
      </w:r>
      <w:r w:rsidR="004A1A46" w:rsidRPr="00F46D04">
        <w:rPr>
          <w:rFonts w:asciiTheme="minorHAnsi" w:hAnsiTheme="minorHAnsi" w:cstheme="minorHAnsi"/>
          <w:color w:val="000000"/>
        </w:rPr>
        <w:t xml:space="preserve"> </w:t>
      </w:r>
      <w:r w:rsidRPr="00F46D04">
        <w:rPr>
          <w:rFonts w:asciiTheme="minorHAnsi" w:hAnsiTheme="minorHAnsi" w:cstheme="minorHAnsi"/>
          <w:color w:val="000000"/>
        </w:rPr>
        <w:t xml:space="preserve">PROCEDURE </w:t>
      </w:r>
      <w:r w:rsidR="00C93A24">
        <w:rPr>
          <w:rFonts w:asciiTheme="minorHAnsi" w:hAnsiTheme="minorHAnsi" w:cstheme="minorHAnsi"/>
          <w:color w:val="000000"/>
        </w:rPr>
        <w:t xml:space="preserve">(1P1P) </w:t>
      </w:r>
      <w:r w:rsidRPr="00F46D04">
        <w:rPr>
          <w:rFonts w:asciiTheme="minorHAnsi" w:hAnsiTheme="minorHAnsi" w:cstheme="minorHAnsi"/>
          <w:color w:val="000000"/>
        </w:rPr>
        <w:t xml:space="preserve">MODEL. </w:t>
      </w:r>
    </w:p>
    <w:p w14:paraId="7587D91D" w14:textId="4DF51A1F" w:rsidR="00F46D04" w:rsidRPr="00F46D04" w:rsidRDefault="00F46D04" w:rsidP="00F46D04">
      <w:pPr>
        <w:pBdr>
          <w:top w:val="nil"/>
          <w:left w:val="nil"/>
          <w:bottom w:val="nil"/>
          <w:right w:val="nil"/>
          <w:between w:val="nil"/>
        </w:pBdr>
        <w:jc w:val="center"/>
        <w:rPr>
          <w:rFonts w:asciiTheme="minorHAnsi" w:hAnsiTheme="minorHAnsi" w:cstheme="minorHAnsi"/>
          <w:color w:val="000000"/>
        </w:rPr>
      </w:pPr>
      <w:r w:rsidRPr="00F46D04">
        <w:rPr>
          <w:rFonts w:asciiTheme="minorHAnsi" w:hAnsiTheme="minorHAnsi" w:cstheme="minorHAnsi"/>
          <w:color w:val="000000"/>
        </w:rPr>
        <w:t>©</w:t>
      </w:r>
      <w:r w:rsidR="004A1A46" w:rsidRPr="00F46D04">
        <w:rPr>
          <w:rFonts w:asciiTheme="minorHAnsi" w:hAnsiTheme="minorHAnsi" w:cstheme="minorHAnsi"/>
          <w:color w:val="000000"/>
        </w:rPr>
        <w:t>202</w:t>
      </w:r>
      <w:r w:rsidR="004A1A46">
        <w:rPr>
          <w:rFonts w:asciiTheme="minorHAnsi" w:hAnsiTheme="minorHAnsi" w:cstheme="minorHAnsi"/>
          <w:color w:val="000000"/>
        </w:rPr>
        <w:t>4</w:t>
      </w:r>
      <w:r w:rsidR="004A1A46" w:rsidRPr="00F46D04">
        <w:rPr>
          <w:rFonts w:asciiTheme="minorHAnsi" w:hAnsiTheme="minorHAnsi" w:cstheme="minorHAnsi"/>
          <w:color w:val="000000"/>
        </w:rPr>
        <w:t xml:space="preserve"> </w:t>
      </w:r>
      <w:r w:rsidRPr="00F46D04">
        <w:rPr>
          <w:rFonts w:asciiTheme="minorHAnsi" w:hAnsiTheme="minorHAnsi" w:cstheme="minorHAnsi"/>
          <w:color w:val="000000"/>
        </w:rPr>
        <w:t>ATIXA. USED WITH PERMISSION.</w:t>
      </w:r>
    </w:p>
    <w:p w14:paraId="6A8850B4" w14:textId="77777777" w:rsidR="00522DE3" w:rsidRPr="00F46D04" w:rsidRDefault="00522DE3" w:rsidP="00F46D04">
      <w:pPr>
        <w:pBdr>
          <w:top w:val="nil"/>
          <w:left w:val="nil"/>
          <w:bottom w:val="nil"/>
          <w:right w:val="nil"/>
          <w:between w:val="nil"/>
        </w:pBdr>
        <w:jc w:val="center"/>
        <w:rPr>
          <w:rFonts w:asciiTheme="minorHAnsi" w:hAnsiTheme="minorHAnsi" w:cstheme="minorHAnsi"/>
          <w:color w:val="000000"/>
        </w:rPr>
      </w:pPr>
    </w:p>
    <w:sdt>
      <w:sdtPr>
        <w:rPr>
          <w:rFonts w:ascii="Calibri" w:hAnsi="Calibri" w:cs="Times New Roman"/>
          <w:b w:val="0"/>
          <w:bCs w:val="0"/>
          <w:color w:val="auto"/>
          <w:sz w:val="24"/>
          <w:u w:val="none"/>
        </w:rPr>
        <w:id w:val="-1919557535"/>
        <w:docPartObj>
          <w:docPartGallery w:val="Table of Contents"/>
          <w:docPartUnique/>
        </w:docPartObj>
      </w:sdtPr>
      <w:sdtEndPr>
        <w:rPr>
          <w:noProof/>
        </w:rPr>
      </w:sdtEndPr>
      <w:sdtContent>
        <w:p w14:paraId="1EDD82DB" w14:textId="3314FA16" w:rsidR="001379AF" w:rsidRDefault="001379AF" w:rsidP="001379AF">
          <w:pPr>
            <w:pStyle w:val="TOCHeading"/>
            <w:numPr>
              <w:ilvl w:val="0"/>
              <w:numId w:val="0"/>
            </w:numPr>
          </w:pPr>
          <w:r>
            <w:t>Table of Contents</w:t>
          </w:r>
        </w:p>
        <w:p w14:paraId="3853C8B7" w14:textId="7DA614C0" w:rsidR="00D17683" w:rsidRDefault="001379AF">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8477491" w:history="1">
            <w:r w:rsidR="00D17683" w:rsidRPr="00FF36C2">
              <w:rPr>
                <w:rStyle w:val="Hyperlink"/>
                <w:noProof/>
              </w:rPr>
              <w:t>1.</w:t>
            </w:r>
            <w:r w:rsidR="00D17683">
              <w:rPr>
                <w:rFonts w:asciiTheme="minorHAnsi" w:eastAsiaTheme="minorEastAsia" w:hAnsiTheme="minorHAnsi" w:cstheme="minorBidi"/>
                <w:noProof/>
                <w:kern w:val="2"/>
                <w14:ligatures w14:val="standardContextual"/>
              </w:rPr>
              <w:tab/>
            </w:r>
            <w:r w:rsidR="00D17683" w:rsidRPr="00FF36C2">
              <w:rPr>
                <w:rStyle w:val="Hyperlink"/>
                <w:noProof/>
              </w:rPr>
              <w:t>Purpose</w:t>
            </w:r>
            <w:r w:rsidR="00D17683">
              <w:rPr>
                <w:noProof/>
                <w:webHidden/>
              </w:rPr>
              <w:tab/>
            </w:r>
            <w:r w:rsidR="00D17683">
              <w:rPr>
                <w:noProof/>
                <w:webHidden/>
              </w:rPr>
              <w:fldChar w:fldCharType="begin"/>
            </w:r>
            <w:r w:rsidR="00D17683">
              <w:rPr>
                <w:noProof/>
                <w:webHidden/>
              </w:rPr>
              <w:instrText xml:space="preserve"> PAGEREF _Toc168477491 \h </w:instrText>
            </w:r>
            <w:r w:rsidR="00D17683">
              <w:rPr>
                <w:noProof/>
                <w:webHidden/>
              </w:rPr>
            </w:r>
            <w:r w:rsidR="00D17683">
              <w:rPr>
                <w:noProof/>
                <w:webHidden/>
              </w:rPr>
              <w:fldChar w:fldCharType="separate"/>
            </w:r>
            <w:r w:rsidR="00D17683">
              <w:rPr>
                <w:noProof/>
                <w:webHidden/>
              </w:rPr>
              <w:t>7</w:t>
            </w:r>
            <w:r w:rsidR="00D17683">
              <w:rPr>
                <w:noProof/>
                <w:webHidden/>
              </w:rPr>
              <w:fldChar w:fldCharType="end"/>
            </w:r>
          </w:hyperlink>
        </w:p>
        <w:p w14:paraId="0147E1F6" w14:textId="7C0F147B" w:rsidR="00D17683" w:rsidRDefault="00000000">
          <w:pPr>
            <w:pStyle w:val="TOC1"/>
            <w:rPr>
              <w:rFonts w:asciiTheme="minorHAnsi" w:eastAsiaTheme="minorEastAsia" w:hAnsiTheme="minorHAnsi" w:cstheme="minorBidi"/>
              <w:noProof/>
              <w:kern w:val="2"/>
              <w14:ligatures w14:val="standardContextual"/>
            </w:rPr>
          </w:pPr>
          <w:hyperlink w:anchor="_Toc168477492" w:history="1">
            <w:r w:rsidR="00D17683" w:rsidRPr="00FF36C2">
              <w:rPr>
                <w:rStyle w:val="Hyperlink"/>
                <w:noProof/>
              </w:rPr>
              <w:t>2.</w:t>
            </w:r>
            <w:r w:rsidR="00D17683">
              <w:rPr>
                <w:rFonts w:asciiTheme="minorHAnsi" w:eastAsiaTheme="minorEastAsia" w:hAnsiTheme="minorHAnsi" w:cstheme="minorBidi"/>
                <w:noProof/>
                <w:kern w:val="2"/>
                <w14:ligatures w14:val="standardContextual"/>
              </w:rPr>
              <w:tab/>
            </w:r>
            <w:r w:rsidR="00D17683" w:rsidRPr="00FF36C2">
              <w:rPr>
                <w:rStyle w:val="Hyperlink"/>
                <w:noProof/>
              </w:rPr>
              <w:t>Notice of Nondiscrimination</w:t>
            </w:r>
            <w:r w:rsidR="00D17683">
              <w:rPr>
                <w:noProof/>
                <w:webHidden/>
              </w:rPr>
              <w:tab/>
            </w:r>
            <w:r w:rsidR="00D17683">
              <w:rPr>
                <w:noProof/>
                <w:webHidden/>
              </w:rPr>
              <w:fldChar w:fldCharType="begin"/>
            </w:r>
            <w:r w:rsidR="00D17683">
              <w:rPr>
                <w:noProof/>
                <w:webHidden/>
              </w:rPr>
              <w:instrText xml:space="preserve"> PAGEREF _Toc168477492 \h </w:instrText>
            </w:r>
            <w:r w:rsidR="00D17683">
              <w:rPr>
                <w:noProof/>
                <w:webHidden/>
              </w:rPr>
            </w:r>
            <w:r w:rsidR="00D17683">
              <w:rPr>
                <w:noProof/>
                <w:webHidden/>
              </w:rPr>
              <w:fldChar w:fldCharType="separate"/>
            </w:r>
            <w:r w:rsidR="00D17683">
              <w:rPr>
                <w:noProof/>
                <w:webHidden/>
              </w:rPr>
              <w:t>7</w:t>
            </w:r>
            <w:r w:rsidR="00D17683">
              <w:rPr>
                <w:noProof/>
                <w:webHidden/>
              </w:rPr>
              <w:fldChar w:fldCharType="end"/>
            </w:r>
          </w:hyperlink>
        </w:p>
        <w:p w14:paraId="3DB446CD" w14:textId="5DDF52BA" w:rsidR="00D17683" w:rsidRDefault="00000000">
          <w:pPr>
            <w:pStyle w:val="TOC1"/>
            <w:rPr>
              <w:rFonts w:asciiTheme="minorHAnsi" w:eastAsiaTheme="minorEastAsia" w:hAnsiTheme="minorHAnsi" w:cstheme="minorBidi"/>
              <w:noProof/>
              <w:kern w:val="2"/>
              <w14:ligatures w14:val="standardContextual"/>
            </w:rPr>
          </w:pPr>
          <w:hyperlink w:anchor="_Toc168477493" w:history="1">
            <w:r w:rsidR="00D17683" w:rsidRPr="00FF36C2">
              <w:rPr>
                <w:rStyle w:val="Hyperlink"/>
                <w:noProof/>
              </w:rPr>
              <w:t>3.</w:t>
            </w:r>
            <w:r w:rsidR="00D17683">
              <w:rPr>
                <w:rFonts w:asciiTheme="minorHAnsi" w:eastAsiaTheme="minorEastAsia" w:hAnsiTheme="minorHAnsi" w:cstheme="minorBidi"/>
                <w:noProof/>
                <w:kern w:val="2"/>
                <w14:ligatures w14:val="standardContextual"/>
              </w:rPr>
              <w:tab/>
            </w:r>
            <w:r w:rsidR="00D17683" w:rsidRPr="00FF36C2">
              <w:rPr>
                <w:rStyle w:val="Hyperlink"/>
                <w:noProof/>
                <w:highlight w:val="lightGray"/>
              </w:rPr>
              <w:t>Nondiscrimination Team</w:t>
            </w:r>
            <w:r w:rsidR="00D17683" w:rsidRPr="00FF36C2">
              <w:rPr>
                <w:rStyle w:val="Hyperlink"/>
                <w:noProof/>
              </w:rPr>
              <w:t xml:space="preserve"> Contacts</w:t>
            </w:r>
            <w:r w:rsidR="00D17683">
              <w:rPr>
                <w:noProof/>
                <w:webHidden/>
              </w:rPr>
              <w:tab/>
            </w:r>
            <w:r w:rsidR="00D17683">
              <w:rPr>
                <w:noProof/>
                <w:webHidden/>
              </w:rPr>
              <w:fldChar w:fldCharType="begin"/>
            </w:r>
            <w:r w:rsidR="00D17683">
              <w:rPr>
                <w:noProof/>
                <w:webHidden/>
              </w:rPr>
              <w:instrText xml:space="preserve"> PAGEREF _Toc168477493 \h </w:instrText>
            </w:r>
            <w:r w:rsidR="00D17683">
              <w:rPr>
                <w:noProof/>
                <w:webHidden/>
              </w:rPr>
            </w:r>
            <w:r w:rsidR="00D17683">
              <w:rPr>
                <w:noProof/>
                <w:webHidden/>
              </w:rPr>
              <w:fldChar w:fldCharType="separate"/>
            </w:r>
            <w:r w:rsidR="00D17683">
              <w:rPr>
                <w:noProof/>
                <w:webHidden/>
              </w:rPr>
              <w:t>8</w:t>
            </w:r>
            <w:r w:rsidR="00D17683">
              <w:rPr>
                <w:noProof/>
                <w:webHidden/>
              </w:rPr>
              <w:fldChar w:fldCharType="end"/>
            </w:r>
          </w:hyperlink>
        </w:p>
        <w:p w14:paraId="480CF54C" w14:textId="6BB4A808" w:rsidR="00D17683" w:rsidRDefault="00000000">
          <w:pPr>
            <w:pStyle w:val="TOC1"/>
            <w:rPr>
              <w:rFonts w:asciiTheme="minorHAnsi" w:eastAsiaTheme="minorEastAsia" w:hAnsiTheme="minorHAnsi" w:cstheme="minorBidi"/>
              <w:noProof/>
              <w:kern w:val="2"/>
              <w14:ligatures w14:val="standardContextual"/>
            </w:rPr>
          </w:pPr>
          <w:hyperlink w:anchor="_Toc168477494" w:history="1">
            <w:r w:rsidR="00D17683" w:rsidRPr="00FF36C2">
              <w:rPr>
                <w:rStyle w:val="Hyperlink"/>
                <w:noProof/>
              </w:rPr>
              <w:t>4.</w:t>
            </w:r>
            <w:r w:rsidR="00D17683">
              <w:rPr>
                <w:rFonts w:asciiTheme="minorHAnsi" w:eastAsiaTheme="minorEastAsia" w:hAnsiTheme="minorHAnsi" w:cstheme="minorBidi"/>
                <w:noProof/>
                <w:kern w:val="2"/>
                <w14:ligatures w14:val="standardContextual"/>
              </w:rPr>
              <w:tab/>
            </w:r>
            <w:r w:rsidR="00D17683" w:rsidRPr="00FF36C2">
              <w:rPr>
                <w:rStyle w:val="Hyperlink"/>
                <w:noProof/>
              </w:rPr>
              <w:t>External Contact Information</w:t>
            </w:r>
            <w:r w:rsidR="00D17683">
              <w:rPr>
                <w:noProof/>
                <w:webHidden/>
              </w:rPr>
              <w:tab/>
            </w:r>
            <w:r w:rsidR="00D17683">
              <w:rPr>
                <w:noProof/>
                <w:webHidden/>
              </w:rPr>
              <w:fldChar w:fldCharType="begin"/>
            </w:r>
            <w:r w:rsidR="00D17683">
              <w:rPr>
                <w:noProof/>
                <w:webHidden/>
              </w:rPr>
              <w:instrText xml:space="preserve"> PAGEREF _Toc168477494 \h </w:instrText>
            </w:r>
            <w:r w:rsidR="00D17683">
              <w:rPr>
                <w:noProof/>
                <w:webHidden/>
              </w:rPr>
            </w:r>
            <w:r w:rsidR="00D17683">
              <w:rPr>
                <w:noProof/>
                <w:webHidden/>
              </w:rPr>
              <w:fldChar w:fldCharType="separate"/>
            </w:r>
            <w:r w:rsidR="00D17683">
              <w:rPr>
                <w:noProof/>
                <w:webHidden/>
              </w:rPr>
              <w:t>10</w:t>
            </w:r>
            <w:r w:rsidR="00D17683">
              <w:rPr>
                <w:noProof/>
                <w:webHidden/>
              </w:rPr>
              <w:fldChar w:fldCharType="end"/>
            </w:r>
          </w:hyperlink>
        </w:p>
        <w:p w14:paraId="342B4D36" w14:textId="4C075025" w:rsidR="00D17683" w:rsidRDefault="00000000">
          <w:pPr>
            <w:pStyle w:val="TOC1"/>
            <w:rPr>
              <w:rFonts w:asciiTheme="minorHAnsi" w:eastAsiaTheme="minorEastAsia" w:hAnsiTheme="minorHAnsi" w:cstheme="minorBidi"/>
              <w:noProof/>
              <w:kern w:val="2"/>
              <w14:ligatures w14:val="standardContextual"/>
            </w:rPr>
          </w:pPr>
          <w:hyperlink w:anchor="_Toc168477495" w:history="1">
            <w:r w:rsidR="00D17683" w:rsidRPr="00FF36C2">
              <w:rPr>
                <w:rStyle w:val="Hyperlink"/>
                <w:noProof/>
              </w:rPr>
              <w:t>5.</w:t>
            </w:r>
            <w:r w:rsidR="00D17683">
              <w:rPr>
                <w:rFonts w:asciiTheme="minorHAnsi" w:eastAsiaTheme="minorEastAsia" w:hAnsiTheme="minorHAnsi" w:cstheme="minorBidi"/>
                <w:noProof/>
                <w:kern w:val="2"/>
                <w14:ligatures w14:val="standardContextual"/>
              </w:rPr>
              <w:tab/>
            </w:r>
            <w:r w:rsidR="00D17683" w:rsidRPr="00FF36C2">
              <w:rPr>
                <w:rStyle w:val="Hyperlink"/>
                <w:noProof/>
              </w:rPr>
              <w:t>Mandated Reporting and Confidential Employees</w:t>
            </w:r>
            <w:r w:rsidR="00D17683">
              <w:rPr>
                <w:noProof/>
                <w:webHidden/>
              </w:rPr>
              <w:tab/>
            </w:r>
            <w:r w:rsidR="00D17683">
              <w:rPr>
                <w:noProof/>
                <w:webHidden/>
              </w:rPr>
              <w:fldChar w:fldCharType="begin"/>
            </w:r>
            <w:r w:rsidR="00D17683">
              <w:rPr>
                <w:noProof/>
                <w:webHidden/>
              </w:rPr>
              <w:instrText xml:space="preserve"> PAGEREF _Toc168477495 \h </w:instrText>
            </w:r>
            <w:r w:rsidR="00D17683">
              <w:rPr>
                <w:noProof/>
                <w:webHidden/>
              </w:rPr>
            </w:r>
            <w:r w:rsidR="00D17683">
              <w:rPr>
                <w:noProof/>
                <w:webHidden/>
              </w:rPr>
              <w:fldChar w:fldCharType="separate"/>
            </w:r>
            <w:r w:rsidR="00D17683">
              <w:rPr>
                <w:noProof/>
                <w:webHidden/>
              </w:rPr>
              <w:t>10</w:t>
            </w:r>
            <w:r w:rsidR="00D17683">
              <w:rPr>
                <w:noProof/>
                <w:webHidden/>
              </w:rPr>
              <w:fldChar w:fldCharType="end"/>
            </w:r>
          </w:hyperlink>
        </w:p>
        <w:p w14:paraId="7C3DD9F8" w14:textId="68789E21" w:rsidR="00D17683" w:rsidRDefault="00000000">
          <w:pPr>
            <w:pStyle w:val="TOC2"/>
            <w:rPr>
              <w:rFonts w:asciiTheme="minorHAnsi" w:eastAsiaTheme="minorEastAsia" w:hAnsiTheme="minorHAnsi" w:cstheme="minorBidi"/>
              <w:noProof/>
              <w:kern w:val="2"/>
              <w14:ligatures w14:val="standardContextual"/>
            </w:rPr>
          </w:pPr>
          <w:hyperlink w:anchor="_Toc168477496"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Confidential Employees</w:t>
            </w:r>
            <w:r w:rsidR="00D17683">
              <w:rPr>
                <w:noProof/>
                <w:webHidden/>
              </w:rPr>
              <w:tab/>
            </w:r>
            <w:r w:rsidR="00D17683">
              <w:rPr>
                <w:noProof/>
                <w:webHidden/>
              </w:rPr>
              <w:fldChar w:fldCharType="begin"/>
            </w:r>
            <w:r w:rsidR="00D17683">
              <w:rPr>
                <w:noProof/>
                <w:webHidden/>
              </w:rPr>
              <w:instrText xml:space="preserve"> PAGEREF _Toc168477496 \h </w:instrText>
            </w:r>
            <w:r w:rsidR="00D17683">
              <w:rPr>
                <w:noProof/>
                <w:webHidden/>
              </w:rPr>
            </w:r>
            <w:r w:rsidR="00D17683">
              <w:rPr>
                <w:noProof/>
                <w:webHidden/>
              </w:rPr>
              <w:fldChar w:fldCharType="separate"/>
            </w:r>
            <w:r w:rsidR="00D17683">
              <w:rPr>
                <w:noProof/>
                <w:webHidden/>
              </w:rPr>
              <w:t>11</w:t>
            </w:r>
            <w:r w:rsidR="00D17683">
              <w:rPr>
                <w:noProof/>
                <w:webHidden/>
              </w:rPr>
              <w:fldChar w:fldCharType="end"/>
            </w:r>
          </w:hyperlink>
        </w:p>
        <w:p w14:paraId="6BDFF8A0" w14:textId="335FD7EF" w:rsidR="00D17683" w:rsidRDefault="00000000">
          <w:pPr>
            <w:pStyle w:val="TOC1"/>
            <w:rPr>
              <w:rFonts w:asciiTheme="minorHAnsi" w:eastAsiaTheme="minorEastAsia" w:hAnsiTheme="minorHAnsi" w:cstheme="minorBidi"/>
              <w:noProof/>
              <w:kern w:val="2"/>
              <w14:ligatures w14:val="standardContextual"/>
            </w:rPr>
          </w:pPr>
          <w:hyperlink w:anchor="_Toc168477497" w:history="1">
            <w:r w:rsidR="00D17683" w:rsidRPr="00FF36C2">
              <w:rPr>
                <w:rStyle w:val="Hyperlink"/>
                <w:noProof/>
              </w:rPr>
              <w:t>6.</w:t>
            </w:r>
            <w:r w:rsidR="00D17683">
              <w:rPr>
                <w:rFonts w:asciiTheme="minorHAnsi" w:eastAsiaTheme="minorEastAsia" w:hAnsiTheme="minorHAnsi" w:cstheme="minorBidi"/>
                <w:noProof/>
                <w:kern w:val="2"/>
                <w14:ligatures w14:val="standardContextual"/>
              </w:rPr>
              <w:tab/>
            </w:r>
            <w:r w:rsidR="00D17683" w:rsidRPr="00FF36C2">
              <w:rPr>
                <w:rStyle w:val="Hyperlink"/>
                <w:noProof/>
              </w:rPr>
              <w:t>Disability-based Grievances and Complaints</w:t>
            </w:r>
            <w:r w:rsidR="00D17683">
              <w:rPr>
                <w:noProof/>
                <w:webHidden/>
              </w:rPr>
              <w:tab/>
            </w:r>
            <w:r w:rsidR="00D17683">
              <w:rPr>
                <w:noProof/>
                <w:webHidden/>
              </w:rPr>
              <w:fldChar w:fldCharType="begin"/>
            </w:r>
            <w:r w:rsidR="00D17683">
              <w:rPr>
                <w:noProof/>
                <w:webHidden/>
              </w:rPr>
              <w:instrText xml:space="preserve"> PAGEREF _Toc168477497 \h </w:instrText>
            </w:r>
            <w:r w:rsidR="00D17683">
              <w:rPr>
                <w:noProof/>
                <w:webHidden/>
              </w:rPr>
            </w:r>
            <w:r w:rsidR="00D17683">
              <w:rPr>
                <w:noProof/>
                <w:webHidden/>
              </w:rPr>
              <w:fldChar w:fldCharType="separate"/>
            </w:r>
            <w:r w:rsidR="00D17683">
              <w:rPr>
                <w:noProof/>
                <w:webHidden/>
              </w:rPr>
              <w:t>12</w:t>
            </w:r>
            <w:r w:rsidR="00D17683">
              <w:rPr>
                <w:noProof/>
                <w:webHidden/>
              </w:rPr>
              <w:fldChar w:fldCharType="end"/>
            </w:r>
          </w:hyperlink>
        </w:p>
        <w:p w14:paraId="0A5203F2" w14:textId="3EB97136" w:rsidR="00D17683" w:rsidRDefault="00000000">
          <w:pPr>
            <w:pStyle w:val="TOC1"/>
            <w:rPr>
              <w:rFonts w:asciiTheme="minorHAnsi" w:eastAsiaTheme="minorEastAsia" w:hAnsiTheme="minorHAnsi" w:cstheme="minorBidi"/>
              <w:noProof/>
              <w:kern w:val="2"/>
              <w14:ligatures w14:val="standardContextual"/>
            </w:rPr>
          </w:pPr>
          <w:hyperlink w:anchor="_Toc168477498" w:history="1">
            <w:r w:rsidR="00D17683" w:rsidRPr="00FF36C2">
              <w:rPr>
                <w:rStyle w:val="Hyperlink"/>
                <w:noProof/>
              </w:rPr>
              <w:t>7.</w:t>
            </w:r>
            <w:r w:rsidR="00D17683">
              <w:rPr>
                <w:rFonts w:asciiTheme="minorHAnsi" w:eastAsiaTheme="minorEastAsia" w:hAnsiTheme="minorHAnsi" w:cstheme="minorBidi"/>
                <w:noProof/>
                <w:kern w:val="2"/>
                <w14:ligatures w14:val="standardContextual"/>
              </w:rPr>
              <w:tab/>
            </w:r>
            <w:r w:rsidR="00D17683" w:rsidRPr="00FF36C2">
              <w:rPr>
                <w:rStyle w:val="Hyperlink"/>
                <w:noProof/>
              </w:rPr>
              <w:t>Scope</w:t>
            </w:r>
            <w:r w:rsidR="00D17683">
              <w:rPr>
                <w:noProof/>
                <w:webHidden/>
              </w:rPr>
              <w:tab/>
            </w:r>
            <w:r w:rsidR="00D17683">
              <w:rPr>
                <w:noProof/>
                <w:webHidden/>
              </w:rPr>
              <w:fldChar w:fldCharType="begin"/>
            </w:r>
            <w:r w:rsidR="00D17683">
              <w:rPr>
                <w:noProof/>
                <w:webHidden/>
              </w:rPr>
              <w:instrText xml:space="preserve"> PAGEREF _Toc168477498 \h </w:instrText>
            </w:r>
            <w:r w:rsidR="00D17683">
              <w:rPr>
                <w:noProof/>
                <w:webHidden/>
              </w:rPr>
            </w:r>
            <w:r w:rsidR="00D17683">
              <w:rPr>
                <w:noProof/>
                <w:webHidden/>
              </w:rPr>
              <w:fldChar w:fldCharType="separate"/>
            </w:r>
            <w:r w:rsidR="00D17683">
              <w:rPr>
                <w:noProof/>
                <w:webHidden/>
              </w:rPr>
              <w:t>13</w:t>
            </w:r>
            <w:r w:rsidR="00D17683">
              <w:rPr>
                <w:noProof/>
                <w:webHidden/>
              </w:rPr>
              <w:fldChar w:fldCharType="end"/>
            </w:r>
          </w:hyperlink>
        </w:p>
        <w:p w14:paraId="076E0B19" w14:textId="26345994" w:rsidR="00D17683" w:rsidRDefault="00000000">
          <w:pPr>
            <w:pStyle w:val="TOC1"/>
            <w:rPr>
              <w:rFonts w:asciiTheme="minorHAnsi" w:eastAsiaTheme="minorEastAsia" w:hAnsiTheme="minorHAnsi" w:cstheme="minorBidi"/>
              <w:noProof/>
              <w:kern w:val="2"/>
              <w14:ligatures w14:val="standardContextual"/>
            </w:rPr>
          </w:pPr>
          <w:hyperlink w:anchor="_Toc168477499" w:history="1">
            <w:r w:rsidR="00D17683" w:rsidRPr="00FF36C2">
              <w:rPr>
                <w:rStyle w:val="Hyperlink"/>
                <w:noProof/>
              </w:rPr>
              <w:t>8.</w:t>
            </w:r>
            <w:r w:rsidR="00D17683">
              <w:rPr>
                <w:rFonts w:asciiTheme="minorHAnsi" w:eastAsiaTheme="minorEastAsia" w:hAnsiTheme="minorHAnsi" w:cstheme="minorBidi"/>
                <w:noProof/>
                <w:kern w:val="2"/>
                <w14:ligatures w14:val="standardContextual"/>
              </w:rPr>
              <w:tab/>
            </w:r>
            <w:r w:rsidR="00D17683" w:rsidRPr="00FF36C2">
              <w:rPr>
                <w:rStyle w:val="Hyperlink"/>
                <w:noProof/>
              </w:rPr>
              <w:t>Jurisdiction</w:t>
            </w:r>
            <w:r w:rsidR="00D17683">
              <w:rPr>
                <w:noProof/>
                <w:webHidden/>
              </w:rPr>
              <w:tab/>
            </w:r>
            <w:r w:rsidR="00D17683">
              <w:rPr>
                <w:noProof/>
                <w:webHidden/>
              </w:rPr>
              <w:fldChar w:fldCharType="begin"/>
            </w:r>
            <w:r w:rsidR="00D17683">
              <w:rPr>
                <w:noProof/>
                <w:webHidden/>
              </w:rPr>
              <w:instrText xml:space="preserve"> PAGEREF _Toc168477499 \h </w:instrText>
            </w:r>
            <w:r w:rsidR="00D17683">
              <w:rPr>
                <w:noProof/>
                <w:webHidden/>
              </w:rPr>
            </w:r>
            <w:r w:rsidR="00D17683">
              <w:rPr>
                <w:noProof/>
                <w:webHidden/>
              </w:rPr>
              <w:fldChar w:fldCharType="separate"/>
            </w:r>
            <w:r w:rsidR="00D17683">
              <w:rPr>
                <w:noProof/>
                <w:webHidden/>
              </w:rPr>
              <w:t>13</w:t>
            </w:r>
            <w:r w:rsidR="00D17683">
              <w:rPr>
                <w:noProof/>
                <w:webHidden/>
              </w:rPr>
              <w:fldChar w:fldCharType="end"/>
            </w:r>
          </w:hyperlink>
        </w:p>
        <w:p w14:paraId="23AC69B1" w14:textId="1373352B" w:rsidR="00D17683" w:rsidRDefault="00000000">
          <w:pPr>
            <w:pStyle w:val="TOC1"/>
            <w:rPr>
              <w:rFonts w:asciiTheme="minorHAnsi" w:eastAsiaTheme="minorEastAsia" w:hAnsiTheme="minorHAnsi" w:cstheme="minorBidi"/>
              <w:noProof/>
              <w:kern w:val="2"/>
              <w14:ligatures w14:val="standardContextual"/>
            </w:rPr>
          </w:pPr>
          <w:hyperlink w:anchor="_Toc168477500" w:history="1">
            <w:r w:rsidR="00D17683" w:rsidRPr="00FF36C2">
              <w:rPr>
                <w:rStyle w:val="Hyperlink"/>
                <w:noProof/>
              </w:rPr>
              <w:t>9.</w:t>
            </w:r>
            <w:r w:rsidR="00D17683">
              <w:rPr>
                <w:rFonts w:asciiTheme="minorHAnsi" w:eastAsiaTheme="minorEastAsia" w:hAnsiTheme="minorHAnsi" w:cstheme="minorBidi"/>
                <w:noProof/>
                <w:kern w:val="2"/>
                <w14:ligatures w14:val="standardContextual"/>
              </w:rPr>
              <w:tab/>
            </w:r>
            <w:r w:rsidR="00D17683" w:rsidRPr="00FF36C2">
              <w:rPr>
                <w:rStyle w:val="Hyperlink"/>
                <w:noProof/>
              </w:rPr>
              <w:t>Supportive Measures</w:t>
            </w:r>
            <w:r w:rsidR="00D17683">
              <w:rPr>
                <w:noProof/>
                <w:webHidden/>
              </w:rPr>
              <w:tab/>
            </w:r>
            <w:r w:rsidR="00D17683">
              <w:rPr>
                <w:noProof/>
                <w:webHidden/>
              </w:rPr>
              <w:fldChar w:fldCharType="begin"/>
            </w:r>
            <w:r w:rsidR="00D17683">
              <w:rPr>
                <w:noProof/>
                <w:webHidden/>
              </w:rPr>
              <w:instrText xml:space="preserve"> PAGEREF _Toc168477500 \h </w:instrText>
            </w:r>
            <w:r w:rsidR="00D17683">
              <w:rPr>
                <w:noProof/>
                <w:webHidden/>
              </w:rPr>
            </w:r>
            <w:r w:rsidR="00D17683">
              <w:rPr>
                <w:noProof/>
                <w:webHidden/>
              </w:rPr>
              <w:fldChar w:fldCharType="separate"/>
            </w:r>
            <w:r w:rsidR="00D17683">
              <w:rPr>
                <w:noProof/>
                <w:webHidden/>
              </w:rPr>
              <w:t>14</w:t>
            </w:r>
            <w:r w:rsidR="00D17683">
              <w:rPr>
                <w:noProof/>
                <w:webHidden/>
              </w:rPr>
              <w:fldChar w:fldCharType="end"/>
            </w:r>
          </w:hyperlink>
        </w:p>
        <w:p w14:paraId="285F7A34" w14:textId="4E938884" w:rsidR="00D17683" w:rsidRDefault="00000000">
          <w:pPr>
            <w:pStyle w:val="TOC1"/>
            <w:rPr>
              <w:rFonts w:asciiTheme="minorHAnsi" w:eastAsiaTheme="minorEastAsia" w:hAnsiTheme="minorHAnsi" w:cstheme="minorBidi"/>
              <w:noProof/>
              <w:kern w:val="2"/>
              <w14:ligatures w14:val="standardContextual"/>
            </w:rPr>
          </w:pPr>
          <w:hyperlink w:anchor="_Toc168477501" w:history="1">
            <w:r w:rsidR="00D17683" w:rsidRPr="00FF36C2">
              <w:rPr>
                <w:rStyle w:val="Hyperlink"/>
                <w:noProof/>
              </w:rPr>
              <w:t>10.</w:t>
            </w:r>
            <w:r w:rsidR="00D17683">
              <w:rPr>
                <w:rFonts w:asciiTheme="minorHAnsi" w:eastAsiaTheme="minorEastAsia" w:hAnsiTheme="minorHAnsi" w:cstheme="minorBidi"/>
                <w:noProof/>
                <w:kern w:val="2"/>
                <w14:ligatures w14:val="standardContextual"/>
              </w:rPr>
              <w:tab/>
            </w:r>
            <w:r w:rsidR="00D17683" w:rsidRPr="00FF36C2">
              <w:rPr>
                <w:rStyle w:val="Hyperlink"/>
                <w:noProof/>
              </w:rPr>
              <w:t>Online Harassment and Misconduct</w:t>
            </w:r>
            <w:r w:rsidR="00D17683">
              <w:rPr>
                <w:noProof/>
                <w:webHidden/>
              </w:rPr>
              <w:tab/>
            </w:r>
            <w:r w:rsidR="00D17683">
              <w:rPr>
                <w:noProof/>
                <w:webHidden/>
              </w:rPr>
              <w:fldChar w:fldCharType="begin"/>
            </w:r>
            <w:r w:rsidR="00D17683">
              <w:rPr>
                <w:noProof/>
                <w:webHidden/>
              </w:rPr>
              <w:instrText xml:space="preserve"> PAGEREF _Toc168477501 \h </w:instrText>
            </w:r>
            <w:r w:rsidR="00D17683">
              <w:rPr>
                <w:noProof/>
                <w:webHidden/>
              </w:rPr>
            </w:r>
            <w:r w:rsidR="00D17683">
              <w:rPr>
                <w:noProof/>
                <w:webHidden/>
              </w:rPr>
              <w:fldChar w:fldCharType="separate"/>
            </w:r>
            <w:r w:rsidR="00D17683">
              <w:rPr>
                <w:noProof/>
                <w:webHidden/>
              </w:rPr>
              <w:t>16</w:t>
            </w:r>
            <w:r w:rsidR="00D17683">
              <w:rPr>
                <w:noProof/>
                <w:webHidden/>
              </w:rPr>
              <w:fldChar w:fldCharType="end"/>
            </w:r>
          </w:hyperlink>
        </w:p>
        <w:p w14:paraId="71DFDAA1" w14:textId="17757837" w:rsidR="00D17683" w:rsidRDefault="00000000">
          <w:pPr>
            <w:pStyle w:val="TOC1"/>
            <w:rPr>
              <w:rFonts w:asciiTheme="minorHAnsi" w:eastAsiaTheme="minorEastAsia" w:hAnsiTheme="minorHAnsi" w:cstheme="minorBidi"/>
              <w:noProof/>
              <w:kern w:val="2"/>
              <w14:ligatures w14:val="standardContextual"/>
            </w:rPr>
          </w:pPr>
          <w:hyperlink w:anchor="_Toc168477502" w:history="1">
            <w:r w:rsidR="00D17683" w:rsidRPr="00FF36C2">
              <w:rPr>
                <w:rStyle w:val="Hyperlink"/>
                <w:noProof/>
              </w:rPr>
              <w:t>11.</w:t>
            </w:r>
            <w:r w:rsidR="00D17683">
              <w:rPr>
                <w:rFonts w:asciiTheme="minorHAnsi" w:eastAsiaTheme="minorEastAsia" w:hAnsiTheme="minorHAnsi" w:cstheme="minorBidi"/>
                <w:noProof/>
                <w:kern w:val="2"/>
                <w14:ligatures w14:val="standardContextual"/>
              </w:rPr>
              <w:tab/>
            </w:r>
            <w:r w:rsidR="00D17683" w:rsidRPr="00FF36C2">
              <w:rPr>
                <w:rStyle w:val="Hyperlink"/>
                <w:noProof/>
              </w:rPr>
              <w:t>Inclusion Related to Gender Identity/Expression</w:t>
            </w:r>
            <w:r w:rsidR="00D17683">
              <w:rPr>
                <w:noProof/>
                <w:webHidden/>
              </w:rPr>
              <w:tab/>
            </w:r>
            <w:r w:rsidR="00D17683">
              <w:rPr>
                <w:noProof/>
                <w:webHidden/>
              </w:rPr>
              <w:fldChar w:fldCharType="begin"/>
            </w:r>
            <w:r w:rsidR="00D17683">
              <w:rPr>
                <w:noProof/>
                <w:webHidden/>
              </w:rPr>
              <w:instrText xml:space="preserve"> PAGEREF _Toc168477502 \h </w:instrText>
            </w:r>
            <w:r w:rsidR="00D17683">
              <w:rPr>
                <w:noProof/>
                <w:webHidden/>
              </w:rPr>
            </w:r>
            <w:r w:rsidR="00D17683">
              <w:rPr>
                <w:noProof/>
                <w:webHidden/>
              </w:rPr>
              <w:fldChar w:fldCharType="separate"/>
            </w:r>
            <w:r w:rsidR="00D17683">
              <w:rPr>
                <w:noProof/>
                <w:webHidden/>
              </w:rPr>
              <w:t>16</w:t>
            </w:r>
            <w:r w:rsidR="00D17683">
              <w:rPr>
                <w:noProof/>
                <w:webHidden/>
              </w:rPr>
              <w:fldChar w:fldCharType="end"/>
            </w:r>
          </w:hyperlink>
        </w:p>
        <w:p w14:paraId="33D3461B" w14:textId="6AEB5173" w:rsidR="00D17683" w:rsidRDefault="00000000">
          <w:pPr>
            <w:pStyle w:val="TOC1"/>
            <w:rPr>
              <w:rFonts w:asciiTheme="minorHAnsi" w:eastAsiaTheme="minorEastAsia" w:hAnsiTheme="minorHAnsi" w:cstheme="minorBidi"/>
              <w:noProof/>
              <w:kern w:val="2"/>
              <w14:ligatures w14:val="standardContextual"/>
            </w:rPr>
          </w:pPr>
          <w:hyperlink w:anchor="_Toc168477503" w:history="1">
            <w:r w:rsidR="00D17683" w:rsidRPr="00FF36C2">
              <w:rPr>
                <w:rStyle w:val="Hyperlink"/>
                <w:noProof/>
              </w:rPr>
              <w:t>12.</w:t>
            </w:r>
            <w:r w:rsidR="00D17683">
              <w:rPr>
                <w:rFonts w:asciiTheme="minorHAnsi" w:eastAsiaTheme="minorEastAsia" w:hAnsiTheme="minorHAnsi" w:cstheme="minorBidi"/>
                <w:noProof/>
                <w:kern w:val="2"/>
                <w14:ligatures w14:val="standardContextual"/>
              </w:rPr>
              <w:tab/>
            </w:r>
            <w:r w:rsidR="00D17683" w:rsidRPr="00FF36C2">
              <w:rPr>
                <w:rStyle w:val="Hyperlink"/>
                <w:noProof/>
              </w:rPr>
              <w:t>Prohibited Conduct</w:t>
            </w:r>
            <w:r w:rsidR="00D17683">
              <w:rPr>
                <w:noProof/>
                <w:webHidden/>
              </w:rPr>
              <w:tab/>
            </w:r>
            <w:r w:rsidR="00D17683">
              <w:rPr>
                <w:noProof/>
                <w:webHidden/>
              </w:rPr>
              <w:fldChar w:fldCharType="begin"/>
            </w:r>
            <w:r w:rsidR="00D17683">
              <w:rPr>
                <w:noProof/>
                <w:webHidden/>
              </w:rPr>
              <w:instrText xml:space="preserve"> PAGEREF _Toc168477503 \h </w:instrText>
            </w:r>
            <w:r w:rsidR="00D17683">
              <w:rPr>
                <w:noProof/>
                <w:webHidden/>
              </w:rPr>
            </w:r>
            <w:r w:rsidR="00D17683">
              <w:rPr>
                <w:noProof/>
                <w:webHidden/>
              </w:rPr>
              <w:fldChar w:fldCharType="separate"/>
            </w:r>
            <w:r w:rsidR="00D17683">
              <w:rPr>
                <w:noProof/>
                <w:webHidden/>
              </w:rPr>
              <w:t>18</w:t>
            </w:r>
            <w:r w:rsidR="00D17683">
              <w:rPr>
                <w:noProof/>
                <w:webHidden/>
              </w:rPr>
              <w:fldChar w:fldCharType="end"/>
            </w:r>
          </w:hyperlink>
        </w:p>
        <w:p w14:paraId="4B3537C6" w14:textId="0070453C" w:rsidR="00D17683" w:rsidRDefault="00000000">
          <w:pPr>
            <w:pStyle w:val="TOC2"/>
            <w:rPr>
              <w:rFonts w:asciiTheme="minorHAnsi" w:eastAsiaTheme="minorEastAsia" w:hAnsiTheme="minorHAnsi" w:cstheme="minorBidi"/>
              <w:noProof/>
              <w:kern w:val="2"/>
              <w14:ligatures w14:val="standardContextual"/>
            </w:rPr>
          </w:pPr>
          <w:hyperlink w:anchor="_Toc168477504"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Discrimination</w:t>
            </w:r>
            <w:r w:rsidR="00D17683">
              <w:rPr>
                <w:noProof/>
                <w:webHidden/>
              </w:rPr>
              <w:tab/>
            </w:r>
            <w:r w:rsidR="00D17683">
              <w:rPr>
                <w:noProof/>
                <w:webHidden/>
              </w:rPr>
              <w:fldChar w:fldCharType="begin"/>
            </w:r>
            <w:r w:rsidR="00D17683">
              <w:rPr>
                <w:noProof/>
                <w:webHidden/>
              </w:rPr>
              <w:instrText xml:space="preserve"> PAGEREF _Toc168477504 \h </w:instrText>
            </w:r>
            <w:r w:rsidR="00D17683">
              <w:rPr>
                <w:noProof/>
                <w:webHidden/>
              </w:rPr>
            </w:r>
            <w:r w:rsidR="00D17683">
              <w:rPr>
                <w:noProof/>
                <w:webHidden/>
              </w:rPr>
              <w:fldChar w:fldCharType="separate"/>
            </w:r>
            <w:r w:rsidR="00D17683">
              <w:rPr>
                <w:noProof/>
                <w:webHidden/>
              </w:rPr>
              <w:t>18</w:t>
            </w:r>
            <w:r w:rsidR="00D17683">
              <w:rPr>
                <w:noProof/>
                <w:webHidden/>
              </w:rPr>
              <w:fldChar w:fldCharType="end"/>
            </w:r>
          </w:hyperlink>
        </w:p>
        <w:p w14:paraId="53A98916" w14:textId="53EBB118" w:rsidR="00D17683" w:rsidRDefault="00000000">
          <w:pPr>
            <w:pStyle w:val="TOC2"/>
            <w:rPr>
              <w:rFonts w:asciiTheme="minorHAnsi" w:eastAsiaTheme="minorEastAsia" w:hAnsiTheme="minorHAnsi" w:cstheme="minorBidi"/>
              <w:noProof/>
              <w:kern w:val="2"/>
              <w14:ligatures w14:val="standardContextual"/>
            </w:rPr>
          </w:pPr>
          <w:hyperlink w:anchor="_Toc168477505"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Discriminatory Harassment</w:t>
            </w:r>
            <w:r w:rsidR="00D17683">
              <w:rPr>
                <w:noProof/>
                <w:webHidden/>
              </w:rPr>
              <w:tab/>
            </w:r>
            <w:r w:rsidR="00D17683">
              <w:rPr>
                <w:noProof/>
                <w:webHidden/>
              </w:rPr>
              <w:fldChar w:fldCharType="begin"/>
            </w:r>
            <w:r w:rsidR="00D17683">
              <w:rPr>
                <w:noProof/>
                <w:webHidden/>
              </w:rPr>
              <w:instrText xml:space="preserve"> PAGEREF _Toc168477505 \h </w:instrText>
            </w:r>
            <w:r w:rsidR="00D17683">
              <w:rPr>
                <w:noProof/>
                <w:webHidden/>
              </w:rPr>
            </w:r>
            <w:r w:rsidR="00D17683">
              <w:rPr>
                <w:noProof/>
                <w:webHidden/>
              </w:rPr>
              <w:fldChar w:fldCharType="separate"/>
            </w:r>
            <w:r w:rsidR="00D17683">
              <w:rPr>
                <w:noProof/>
                <w:webHidden/>
              </w:rPr>
              <w:t>19</w:t>
            </w:r>
            <w:r w:rsidR="00D17683">
              <w:rPr>
                <w:noProof/>
                <w:webHidden/>
              </w:rPr>
              <w:fldChar w:fldCharType="end"/>
            </w:r>
          </w:hyperlink>
        </w:p>
        <w:p w14:paraId="29FCE8E2" w14:textId="4FB0083D" w:rsidR="00D17683" w:rsidRDefault="00000000">
          <w:pPr>
            <w:pStyle w:val="TOC2"/>
            <w:rPr>
              <w:rFonts w:asciiTheme="minorHAnsi" w:eastAsiaTheme="minorEastAsia" w:hAnsiTheme="minorHAnsi" w:cstheme="minorBidi"/>
              <w:noProof/>
              <w:kern w:val="2"/>
              <w14:ligatures w14:val="standardContextual"/>
            </w:rPr>
          </w:pPr>
          <w:hyperlink w:anchor="_Toc168477506"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Sex-based Harassment (Applicable under Title IX, Title VII, and the Fair Housing Act)</w:t>
            </w:r>
            <w:r w:rsidR="00D17683">
              <w:rPr>
                <w:noProof/>
                <w:webHidden/>
              </w:rPr>
              <w:tab/>
            </w:r>
            <w:r w:rsidR="00D17683">
              <w:rPr>
                <w:noProof/>
                <w:webHidden/>
              </w:rPr>
              <w:fldChar w:fldCharType="begin"/>
            </w:r>
            <w:r w:rsidR="00D17683">
              <w:rPr>
                <w:noProof/>
                <w:webHidden/>
              </w:rPr>
              <w:instrText xml:space="preserve"> PAGEREF _Toc168477506 \h </w:instrText>
            </w:r>
            <w:r w:rsidR="00D17683">
              <w:rPr>
                <w:noProof/>
                <w:webHidden/>
              </w:rPr>
            </w:r>
            <w:r w:rsidR="00D17683">
              <w:rPr>
                <w:noProof/>
                <w:webHidden/>
              </w:rPr>
              <w:fldChar w:fldCharType="separate"/>
            </w:r>
            <w:r w:rsidR="00D17683">
              <w:rPr>
                <w:noProof/>
                <w:webHidden/>
              </w:rPr>
              <w:t>19</w:t>
            </w:r>
            <w:r w:rsidR="00D17683">
              <w:rPr>
                <w:noProof/>
                <w:webHidden/>
              </w:rPr>
              <w:fldChar w:fldCharType="end"/>
            </w:r>
          </w:hyperlink>
        </w:p>
        <w:p w14:paraId="667F0269" w14:textId="72F9FB3A" w:rsidR="00D17683" w:rsidRDefault="00000000">
          <w:pPr>
            <w:pStyle w:val="TOC2"/>
            <w:rPr>
              <w:rFonts w:asciiTheme="minorHAnsi" w:eastAsiaTheme="minorEastAsia" w:hAnsiTheme="minorHAnsi" w:cstheme="minorBidi"/>
              <w:noProof/>
              <w:kern w:val="2"/>
              <w14:ligatures w14:val="standardContextual"/>
            </w:rPr>
          </w:pPr>
          <w:hyperlink w:anchor="_Toc168477507" w:history="1">
            <w:r w:rsidR="00D17683" w:rsidRPr="00FF36C2">
              <w:rPr>
                <w:rStyle w:val="Hyperlink"/>
                <w:noProof/>
              </w:rPr>
              <w:t>D.</w:t>
            </w:r>
            <w:r w:rsidR="00D17683">
              <w:rPr>
                <w:rFonts w:asciiTheme="minorHAnsi" w:eastAsiaTheme="minorEastAsia" w:hAnsiTheme="minorHAnsi" w:cstheme="minorBidi"/>
                <w:noProof/>
                <w:kern w:val="2"/>
                <w14:ligatures w14:val="standardContextual"/>
              </w:rPr>
              <w:tab/>
            </w:r>
            <w:r w:rsidR="00D17683" w:rsidRPr="00FF36C2">
              <w:rPr>
                <w:rStyle w:val="Hyperlink"/>
                <w:noProof/>
              </w:rPr>
              <w:t>Other Prohibited Conduct</w:t>
            </w:r>
            <w:r w:rsidR="00D17683">
              <w:rPr>
                <w:noProof/>
                <w:webHidden/>
              </w:rPr>
              <w:tab/>
            </w:r>
            <w:r w:rsidR="00D17683">
              <w:rPr>
                <w:noProof/>
                <w:webHidden/>
              </w:rPr>
              <w:fldChar w:fldCharType="begin"/>
            </w:r>
            <w:r w:rsidR="00D17683">
              <w:rPr>
                <w:noProof/>
                <w:webHidden/>
              </w:rPr>
              <w:instrText xml:space="preserve"> PAGEREF _Toc168477507 \h </w:instrText>
            </w:r>
            <w:r w:rsidR="00D17683">
              <w:rPr>
                <w:noProof/>
                <w:webHidden/>
              </w:rPr>
            </w:r>
            <w:r w:rsidR="00D17683">
              <w:rPr>
                <w:noProof/>
                <w:webHidden/>
              </w:rPr>
              <w:fldChar w:fldCharType="separate"/>
            </w:r>
            <w:r w:rsidR="00D17683">
              <w:rPr>
                <w:noProof/>
                <w:webHidden/>
              </w:rPr>
              <w:t>25</w:t>
            </w:r>
            <w:r w:rsidR="00D17683">
              <w:rPr>
                <w:noProof/>
                <w:webHidden/>
              </w:rPr>
              <w:fldChar w:fldCharType="end"/>
            </w:r>
          </w:hyperlink>
        </w:p>
        <w:p w14:paraId="318C6DF5" w14:textId="642FD652" w:rsidR="00D17683" w:rsidRDefault="00000000">
          <w:pPr>
            <w:pStyle w:val="TOC2"/>
            <w:rPr>
              <w:rFonts w:asciiTheme="minorHAnsi" w:eastAsiaTheme="minorEastAsia" w:hAnsiTheme="minorHAnsi" w:cstheme="minorBidi"/>
              <w:noProof/>
              <w:kern w:val="2"/>
              <w14:ligatures w14:val="standardContextual"/>
            </w:rPr>
          </w:pPr>
          <w:hyperlink w:anchor="_Toc168477508" w:history="1">
            <w:r w:rsidR="00D17683" w:rsidRPr="00FF36C2">
              <w:rPr>
                <w:rStyle w:val="Hyperlink"/>
                <w:noProof/>
              </w:rPr>
              <w:t>E.</w:t>
            </w:r>
            <w:r w:rsidR="00D17683">
              <w:rPr>
                <w:rFonts w:asciiTheme="minorHAnsi" w:eastAsiaTheme="minorEastAsia" w:hAnsiTheme="minorHAnsi" w:cstheme="minorBidi"/>
                <w:noProof/>
                <w:kern w:val="2"/>
                <w14:ligatures w14:val="standardContextual"/>
              </w:rPr>
              <w:tab/>
            </w:r>
            <w:r w:rsidR="00D17683" w:rsidRPr="00FF36C2">
              <w:rPr>
                <w:rStyle w:val="Hyperlink"/>
                <w:noProof/>
              </w:rPr>
              <w:t>Consent, Force, and Incapacitation</w:t>
            </w:r>
            <w:r w:rsidR="00D17683">
              <w:rPr>
                <w:noProof/>
                <w:webHidden/>
              </w:rPr>
              <w:tab/>
            </w:r>
            <w:r w:rsidR="00D17683">
              <w:rPr>
                <w:noProof/>
                <w:webHidden/>
              </w:rPr>
              <w:fldChar w:fldCharType="begin"/>
            </w:r>
            <w:r w:rsidR="00D17683">
              <w:rPr>
                <w:noProof/>
                <w:webHidden/>
              </w:rPr>
              <w:instrText xml:space="preserve"> PAGEREF _Toc168477508 \h </w:instrText>
            </w:r>
            <w:r w:rsidR="00D17683">
              <w:rPr>
                <w:noProof/>
                <w:webHidden/>
              </w:rPr>
            </w:r>
            <w:r w:rsidR="00D17683">
              <w:rPr>
                <w:noProof/>
                <w:webHidden/>
              </w:rPr>
              <w:fldChar w:fldCharType="separate"/>
            </w:r>
            <w:r w:rsidR="00D17683">
              <w:rPr>
                <w:noProof/>
                <w:webHidden/>
              </w:rPr>
              <w:t>27</w:t>
            </w:r>
            <w:r w:rsidR="00D17683">
              <w:rPr>
                <w:noProof/>
                <w:webHidden/>
              </w:rPr>
              <w:fldChar w:fldCharType="end"/>
            </w:r>
          </w:hyperlink>
        </w:p>
        <w:p w14:paraId="7363147C" w14:textId="2FBE0B75" w:rsidR="00D17683" w:rsidRDefault="00000000">
          <w:pPr>
            <w:pStyle w:val="TOC2"/>
            <w:rPr>
              <w:rFonts w:asciiTheme="minorHAnsi" w:eastAsiaTheme="minorEastAsia" w:hAnsiTheme="minorHAnsi" w:cstheme="minorBidi"/>
              <w:noProof/>
              <w:kern w:val="2"/>
              <w14:ligatures w14:val="standardContextual"/>
            </w:rPr>
          </w:pPr>
          <w:hyperlink w:anchor="_Toc168477509" w:history="1">
            <w:r w:rsidR="00D17683" w:rsidRPr="00FF36C2">
              <w:rPr>
                <w:rStyle w:val="Hyperlink"/>
                <w:noProof/>
                <w:highlight w:val="lightGray"/>
              </w:rPr>
              <w:t>F.</w:t>
            </w:r>
            <w:r w:rsidR="00D17683">
              <w:rPr>
                <w:rFonts w:asciiTheme="minorHAnsi" w:eastAsiaTheme="minorEastAsia" w:hAnsiTheme="minorHAnsi" w:cstheme="minorBidi"/>
                <w:noProof/>
                <w:kern w:val="2"/>
                <w14:ligatures w14:val="standardContextual"/>
              </w:rPr>
              <w:tab/>
            </w:r>
            <w:r w:rsidR="00D17683" w:rsidRPr="00FF36C2">
              <w:rPr>
                <w:rStyle w:val="Hyperlink"/>
                <w:noProof/>
                <w:highlight w:val="lightGray"/>
              </w:rPr>
              <w:t>Unethical Relationships</w:t>
            </w:r>
            <w:r w:rsidR="00D17683" w:rsidRPr="00FF36C2">
              <w:rPr>
                <w:rStyle w:val="Hyperlink"/>
                <w:noProof/>
              </w:rPr>
              <w:t xml:space="preserve"> (See Appendix F)</w:t>
            </w:r>
            <w:r w:rsidR="00D17683">
              <w:rPr>
                <w:noProof/>
                <w:webHidden/>
              </w:rPr>
              <w:tab/>
            </w:r>
            <w:r w:rsidR="00D17683">
              <w:rPr>
                <w:noProof/>
                <w:webHidden/>
              </w:rPr>
              <w:fldChar w:fldCharType="begin"/>
            </w:r>
            <w:r w:rsidR="00D17683">
              <w:rPr>
                <w:noProof/>
                <w:webHidden/>
              </w:rPr>
              <w:instrText xml:space="preserve"> PAGEREF _Toc168477509 \h </w:instrText>
            </w:r>
            <w:r w:rsidR="00D17683">
              <w:rPr>
                <w:noProof/>
                <w:webHidden/>
              </w:rPr>
            </w:r>
            <w:r w:rsidR="00D17683">
              <w:rPr>
                <w:noProof/>
                <w:webHidden/>
              </w:rPr>
              <w:fldChar w:fldCharType="separate"/>
            </w:r>
            <w:r w:rsidR="00D17683">
              <w:rPr>
                <w:noProof/>
                <w:webHidden/>
              </w:rPr>
              <w:t>30</w:t>
            </w:r>
            <w:r w:rsidR="00D17683">
              <w:rPr>
                <w:noProof/>
                <w:webHidden/>
              </w:rPr>
              <w:fldChar w:fldCharType="end"/>
            </w:r>
          </w:hyperlink>
        </w:p>
        <w:p w14:paraId="3B15DA00" w14:textId="3CC138C8" w:rsidR="00D17683" w:rsidRDefault="00000000">
          <w:pPr>
            <w:pStyle w:val="TOC1"/>
            <w:rPr>
              <w:rFonts w:asciiTheme="minorHAnsi" w:eastAsiaTheme="minorEastAsia" w:hAnsiTheme="minorHAnsi" w:cstheme="minorBidi"/>
              <w:noProof/>
              <w:kern w:val="2"/>
              <w14:ligatures w14:val="standardContextual"/>
            </w:rPr>
          </w:pPr>
          <w:hyperlink w:anchor="_Toc168477510" w:history="1">
            <w:r w:rsidR="00D17683" w:rsidRPr="00FF36C2">
              <w:rPr>
                <w:rStyle w:val="Hyperlink"/>
                <w:noProof/>
              </w:rPr>
              <w:t>13.</w:t>
            </w:r>
            <w:r w:rsidR="00D17683">
              <w:rPr>
                <w:rFonts w:asciiTheme="minorHAnsi" w:eastAsiaTheme="minorEastAsia" w:hAnsiTheme="minorHAnsi" w:cstheme="minorBidi"/>
                <w:noProof/>
                <w:kern w:val="2"/>
                <w14:ligatures w14:val="standardContextual"/>
              </w:rPr>
              <w:tab/>
            </w:r>
            <w:r w:rsidR="00D17683" w:rsidRPr="00FF36C2">
              <w:rPr>
                <w:rStyle w:val="Hyperlink"/>
                <w:noProof/>
              </w:rPr>
              <w:t>Standard of Proof</w:t>
            </w:r>
            <w:r w:rsidR="00D17683">
              <w:rPr>
                <w:noProof/>
                <w:webHidden/>
              </w:rPr>
              <w:tab/>
            </w:r>
            <w:r w:rsidR="00D17683">
              <w:rPr>
                <w:noProof/>
                <w:webHidden/>
              </w:rPr>
              <w:fldChar w:fldCharType="begin"/>
            </w:r>
            <w:r w:rsidR="00D17683">
              <w:rPr>
                <w:noProof/>
                <w:webHidden/>
              </w:rPr>
              <w:instrText xml:space="preserve"> PAGEREF _Toc168477510 \h </w:instrText>
            </w:r>
            <w:r w:rsidR="00D17683">
              <w:rPr>
                <w:noProof/>
                <w:webHidden/>
              </w:rPr>
            </w:r>
            <w:r w:rsidR="00D17683">
              <w:rPr>
                <w:noProof/>
                <w:webHidden/>
              </w:rPr>
              <w:fldChar w:fldCharType="separate"/>
            </w:r>
            <w:r w:rsidR="00D17683">
              <w:rPr>
                <w:noProof/>
                <w:webHidden/>
              </w:rPr>
              <w:t>30</w:t>
            </w:r>
            <w:r w:rsidR="00D17683">
              <w:rPr>
                <w:noProof/>
                <w:webHidden/>
              </w:rPr>
              <w:fldChar w:fldCharType="end"/>
            </w:r>
          </w:hyperlink>
        </w:p>
        <w:p w14:paraId="5058FCB4" w14:textId="5848577E" w:rsidR="00D17683" w:rsidRDefault="00000000">
          <w:pPr>
            <w:pStyle w:val="TOC1"/>
            <w:rPr>
              <w:rFonts w:asciiTheme="minorHAnsi" w:eastAsiaTheme="minorEastAsia" w:hAnsiTheme="minorHAnsi" w:cstheme="minorBidi"/>
              <w:noProof/>
              <w:kern w:val="2"/>
              <w14:ligatures w14:val="standardContextual"/>
            </w:rPr>
          </w:pPr>
          <w:hyperlink w:anchor="_Toc168477511" w:history="1">
            <w:r w:rsidR="00D17683" w:rsidRPr="00FF36C2">
              <w:rPr>
                <w:rStyle w:val="Hyperlink"/>
                <w:noProof/>
              </w:rPr>
              <w:t>14.</w:t>
            </w:r>
            <w:r w:rsidR="00D17683">
              <w:rPr>
                <w:rFonts w:asciiTheme="minorHAnsi" w:eastAsiaTheme="minorEastAsia" w:hAnsiTheme="minorHAnsi" w:cstheme="minorBidi"/>
                <w:noProof/>
                <w:kern w:val="2"/>
                <w14:ligatures w14:val="standardContextual"/>
              </w:rPr>
              <w:tab/>
            </w:r>
            <w:r w:rsidR="00D17683" w:rsidRPr="00FF36C2">
              <w:rPr>
                <w:rStyle w:val="Hyperlink"/>
                <w:noProof/>
              </w:rPr>
              <w:t>Reports/Complaints of Discrimination, Harassment, and/or Retaliation</w:t>
            </w:r>
            <w:r w:rsidR="00D17683">
              <w:rPr>
                <w:noProof/>
                <w:webHidden/>
              </w:rPr>
              <w:tab/>
            </w:r>
            <w:r w:rsidR="00D17683">
              <w:rPr>
                <w:noProof/>
                <w:webHidden/>
              </w:rPr>
              <w:fldChar w:fldCharType="begin"/>
            </w:r>
            <w:r w:rsidR="00D17683">
              <w:rPr>
                <w:noProof/>
                <w:webHidden/>
              </w:rPr>
              <w:instrText xml:space="preserve"> PAGEREF _Toc168477511 \h </w:instrText>
            </w:r>
            <w:r w:rsidR="00D17683">
              <w:rPr>
                <w:noProof/>
                <w:webHidden/>
              </w:rPr>
            </w:r>
            <w:r w:rsidR="00D17683">
              <w:rPr>
                <w:noProof/>
                <w:webHidden/>
              </w:rPr>
              <w:fldChar w:fldCharType="separate"/>
            </w:r>
            <w:r w:rsidR="00D17683">
              <w:rPr>
                <w:noProof/>
                <w:webHidden/>
              </w:rPr>
              <w:t>30</w:t>
            </w:r>
            <w:r w:rsidR="00D17683">
              <w:rPr>
                <w:noProof/>
                <w:webHidden/>
              </w:rPr>
              <w:fldChar w:fldCharType="end"/>
            </w:r>
          </w:hyperlink>
        </w:p>
        <w:p w14:paraId="00E362E8" w14:textId="74FADD85" w:rsidR="00D17683" w:rsidRDefault="00000000">
          <w:pPr>
            <w:pStyle w:val="TOC1"/>
            <w:rPr>
              <w:rFonts w:asciiTheme="minorHAnsi" w:eastAsiaTheme="minorEastAsia" w:hAnsiTheme="minorHAnsi" w:cstheme="minorBidi"/>
              <w:noProof/>
              <w:kern w:val="2"/>
              <w14:ligatures w14:val="standardContextual"/>
            </w:rPr>
          </w:pPr>
          <w:hyperlink w:anchor="_Toc168477512" w:history="1">
            <w:r w:rsidR="00D17683" w:rsidRPr="00FF36C2">
              <w:rPr>
                <w:rStyle w:val="Hyperlink"/>
                <w:noProof/>
              </w:rPr>
              <w:t>15.</w:t>
            </w:r>
            <w:r w:rsidR="00D17683">
              <w:rPr>
                <w:rFonts w:asciiTheme="minorHAnsi" w:eastAsiaTheme="minorEastAsia" w:hAnsiTheme="minorHAnsi" w:cstheme="minorBidi"/>
                <w:noProof/>
                <w:kern w:val="2"/>
                <w14:ligatures w14:val="standardContextual"/>
              </w:rPr>
              <w:tab/>
            </w:r>
            <w:r w:rsidR="00D17683" w:rsidRPr="00FF36C2">
              <w:rPr>
                <w:rStyle w:val="Hyperlink"/>
                <w:noProof/>
              </w:rPr>
              <w:t>Time Limits on Reporting</w:t>
            </w:r>
            <w:r w:rsidR="00D17683">
              <w:rPr>
                <w:noProof/>
                <w:webHidden/>
              </w:rPr>
              <w:tab/>
            </w:r>
            <w:r w:rsidR="00D17683">
              <w:rPr>
                <w:noProof/>
                <w:webHidden/>
              </w:rPr>
              <w:fldChar w:fldCharType="begin"/>
            </w:r>
            <w:r w:rsidR="00D17683">
              <w:rPr>
                <w:noProof/>
                <w:webHidden/>
              </w:rPr>
              <w:instrText xml:space="preserve"> PAGEREF _Toc168477512 \h </w:instrText>
            </w:r>
            <w:r w:rsidR="00D17683">
              <w:rPr>
                <w:noProof/>
                <w:webHidden/>
              </w:rPr>
            </w:r>
            <w:r w:rsidR="00D17683">
              <w:rPr>
                <w:noProof/>
                <w:webHidden/>
              </w:rPr>
              <w:fldChar w:fldCharType="separate"/>
            </w:r>
            <w:r w:rsidR="00D17683">
              <w:rPr>
                <w:noProof/>
                <w:webHidden/>
              </w:rPr>
              <w:t>31</w:t>
            </w:r>
            <w:r w:rsidR="00D17683">
              <w:rPr>
                <w:noProof/>
                <w:webHidden/>
              </w:rPr>
              <w:fldChar w:fldCharType="end"/>
            </w:r>
          </w:hyperlink>
        </w:p>
        <w:p w14:paraId="2E5605C5" w14:textId="2521701F" w:rsidR="00D17683" w:rsidRDefault="00000000">
          <w:pPr>
            <w:pStyle w:val="TOC1"/>
            <w:rPr>
              <w:rFonts w:asciiTheme="minorHAnsi" w:eastAsiaTheme="minorEastAsia" w:hAnsiTheme="minorHAnsi" w:cstheme="minorBidi"/>
              <w:noProof/>
              <w:kern w:val="2"/>
              <w14:ligatures w14:val="standardContextual"/>
            </w:rPr>
          </w:pPr>
          <w:hyperlink w:anchor="_Toc168477513" w:history="1">
            <w:r w:rsidR="00D17683" w:rsidRPr="00FF36C2">
              <w:rPr>
                <w:rStyle w:val="Hyperlink"/>
                <w:noProof/>
              </w:rPr>
              <w:t>16.</w:t>
            </w:r>
            <w:r w:rsidR="00D17683">
              <w:rPr>
                <w:rFonts w:asciiTheme="minorHAnsi" w:eastAsiaTheme="minorEastAsia" w:hAnsiTheme="minorHAnsi" w:cstheme="minorBidi"/>
                <w:noProof/>
                <w:kern w:val="2"/>
                <w14:ligatures w14:val="standardContextual"/>
              </w:rPr>
              <w:tab/>
            </w:r>
            <w:r w:rsidR="00D17683" w:rsidRPr="00FF36C2">
              <w:rPr>
                <w:rStyle w:val="Hyperlink"/>
                <w:noProof/>
              </w:rPr>
              <w:t>False Allegations and Evidence</w:t>
            </w:r>
            <w:r w:rsidR="00D17683">
              <w:rPr>
                <w:noProof/>
                <w:webHidden/>
              </w:rPr>
              <w:tab/>
            </w:r>
            <w:r w:rsidR="00D17683">
              <w:rPr>
                <w:noProof/>
                <w:webHidden/>
              </w:rPr>
              <w:fldChar w:fldCharType="begin"/>
            </w:r>
            <w:r w:rsidR="00D17683">
              <w:rPr>
                <w:noProof/>
                <w:webHidden/>
              </w:rPr>
              <w:instrText xml:space="preserve"> PAGEREF _Toc168477513 \h </w:instrText>
            </w:r>
            <w:r w:rsidR="00D17683">
              <w:rPr>
                <w:noProof/>
                <w:webHidden/>
              </w:rPr>
            </w:r>
            <w:r w:rsidR="00D17683">
              <w:rPr>
                <w:noProof/>
                <w:webHidden/>
              </w:rPr>
              <w:fldChar w:fldCharType="separate"/>
            </w:r>
            <w:r w:rsidR="00D17683">
              <w:rPr>
                <w:noProof/>
                <w:webHidden/>
              </w:rPr>
              <w:t>31</w:t>
            </w:r>
            <w:r w:rsidR="00D17683">
              <w:rPr>
                <w:noProof/>
                <w:webHidden/>
              </w:rPr>
              <w:fldChar w:fldCharType="end"/>
            </w:r>
          </w:hyperlink>
        </w:p>
        <w:p w14:paraId="352825D8" w14:textId="6BCAB35F" w:rsidR="00D17683" w:rsidRDefault="00000000">
          <w:pPr>
            <w:pStyle w:val="TOC1"/>
            <w:rPr>
              <w:rFonts w:asciiTheme="minorHAnsi" w:eastAsiaTheme="minorEastAsia" w:hAnsiTheme="minorHAnsi" w:cstheme="minorBidi"/>
              <w:noProof/>
              <w:kern w:val="2"/>
              <w14:ligatures w14:val="standardContextual"/>
            </w:rPr>
          </w:pPr>
          <w:hyperlink w:anchor="_Toc168477514" w:history="1">
            <w:r w:rsidR="00D17683" w:rsidRPr="00FF36C2">
              <w:rPr>
                <w:rStyle w:val="Hyperlink"/>
                <w:noProof/>
              </w:rPr>
              <w:t>17.</w:t>
            </w:r>
            <w:r w:rsidR="00D17683">
              <w:rPr>
                <w:rFonts w:asciiTheme="minorHAnsi" w:eastAsiaTheme="minorEastAsia" w:hAnsiTheme="minorHAnsi" w:cstheme="minorBidi"/>
                <w:noProof/>
                <w:kern w:val="2"/>
                <w14:ligatures w14:val="standardContextual"/>
              </w:rPr>
              <w:tab/>
            </w:r>
            <w:r w:rsidR="00D17683" w:rsidRPr="00FF36C2">
              <w:rPr>
                <w:rStyle w:val="Hyperlink"/>
                <w:noProof/>
              </w:rPr>
              <w:t>Confidentiality/Privacy</w:t>
            </w:r>
            <w:r w:rsidR="00D17683">
              <w:rPr>
                <w:noProof/>
                <w:webHidden/>
              </w:rPr>
              <w:tab/>
            </w:r>
            <w:r w:rsidR="00D17683">
              <w:rPr>
                <w:noProof/>
                <w:webHidden/>
              </w:rPr>
              <w:fldChar w:fldCharType="begin"/>
            </w:r>
            <w:r w:rsidR="00D17683">
              <w:rPr>
                <w:noProof/>
                <w:webHidden/>
              </w:rPr>
              <w:instrText xml:space="preserve"> PAGEREF _Toc168477514 \h </w:instrText>
            </w:r>
            <w:r w:rsidR="00D17683">
              <w:rPr>
                <w:noProof/>
                <w:webHidden/>
              </w:rPr>
            </w:r>
            <w:r w:rsidR="00D17683">
              <w:rPr>
                <w:noProof/>
                <w:webHidden/>
              </w:rPr>
              <w:fldChar w:fldCharType="separate"/>
            </w:r>
            <w:r w:rsidR="00D17683">
              <w:rPr>
                <w:noProof/>
                <w:webHidden/>
              </w:rPr>
              <w:t>31</w:t>
            </w:r>
            <w:r w:rsidR="00D17683">
              <w:rPr>
                <w:noProof/>
                <w:webHidden/>
              </w:rPr>
              <w:fldChar w:fldCharType="end"/>
            </w:r>
          </w:hyperlink>
        </w:p>
        <w:p w14:paraId="60409530" w14:textId="72DD6CB8" w:rsidR="00D17683" w:rsidRDefault="00000000">
          <w:pPr>
            <w:pStyle w:val="TOC1"/>
            <w:rPr>
              <w:rFonts w:asciiTheme="minorHAnsi" w:eastAsiaTheme="minorEastAsia" w:hAnsiTheme="minorHAnsi" w:cstheme="minorBidi"/>
              <w:noProof/>
              <w:kern w:val="2"/>
              <w14:ligatures w14:val="standardContextual"/>
            </w:rPr>
          </w:pPr>
          <w:hyperlink w:anchor="_Toc168477515" w:history="1">
            <w:r w:rsidR="00D17683" w:rsidRPr="00FF36C2">
              <w:rPr>
                <w:rStyle w:val="Hyperlink"/>
                <w:noProof/>
              </w:rPr>
              <w:t>18.</w:t>
            </w:r>
            <w:r w:rsidR="00D17683">
              <w:rPr>
                <w:rFonts w:asciiTheme="minorHAnsi" w:eastAsiaTheme="minorEastAsia" w:hAnsiTheme="minorHAnsi" w:cstheme="minorBidi"/>
                <w:noProof/>
                <w:kern w:val="2"/>
                <w14:ligatures w14:val="standardContextual"/>
              </w:rPr>
              <w:tab/>
            </w:r>
            <w:r w:rsidR="00D17683" w:rsidRPr="00FF36C2">
              <w:rPr>
                <w:rStyle w:val="Hyperlink"/>
                <w:noProof/>
              </w:rPr>
              <w:t>Emergency Removal/Interim Actions/Leaves</w:t>
            </w:r>
            <w:r w:rsidR="00D17683">
              <w:rPr>
                <w:noProof/>
                <w:webHidden/>
              </w:rPr>
              <w:tab/>
            </w:r>
            <w:r w:rsidR="00D17683">
              <w:rPr>
                <w:noProof/>
                <w:webHidden/>
              </w:rPr>
              <w:fldChar w:fldCharType="begin"/>
            </w:r>
            <w:r w:rsidR="00D17683">
              <w:rPr>
                <w:noProof/>
                <w:webHidden/>
              </w:rPr>
              <w:instrText xml:space="preserve"> PAGEREF _Toc168477515 \h </w:instrText>
            </w:r>
            <w:r w:rsidR="00D17683">
              <w:rPr>
                <w:noProof/>
                <w:webHidden/>
              </w:rPr>
            </w:r>
            <w:r w:rsidR="00D17683">
              <w:rPr>
                <w:noProof/>
                <w:webHidden/>
              </w:rPr>
              <w:fldChar w:fldCharType="separate"/>
            </w:r>
            <w:r w:rsidR="00D17683">
              <w:rPr>
                <w:noProof/>
                <w:webHidden/>
              </w:rPr>
              <w:t>32</w:t>
            </w:r>
            <w:r w:rsidR="00D17683">
              <w:rPr>
                <w:noProof/>
                <w:webHidden/>
              </w:rPr>
              <w:fldChar w:fldCharType="end"/>
            </w:r>
          </w:hyperlink>
        </w:p>
        <w:p w14:paraId="28A84019" w14:textId="57AA87B3" w:rsidR="00D17683" w:rsidRDefault="00000000">
          <w:pPr>
            <w:pStyle w:val="TOC1"/>
            <w:rPr>
              <w:rFonts w:asciiTheme="minorHAnsi" w:eastAsiaTheme="minorEastAsia" w:hAnsiTheme="minorHAnsi" w:cstheme="minorBidi"/>
              <w:noProof/>
              <w:kern w:val="2"/>
              <w14:ligatures w14:val="standardContextual"/>
            </w:rPr>
          </w:pPr>
          <w:hyperlink w:anchor="_Toc168477516" w:history="1">
            <w:r w:rsidR="00D17683" w:rsidRPr="00FF36C2">
              <w:rPr>
                <w:rStyle w:val="Hyperlink"/>
                <w:noProof/>
              </w:rPr>
              <w:t>19.</w:t>
            </w:r>
            <w:r w:rsidR="00D17683">
              <w:rPr>
                <w:rFonts w:asciiTheme="minorHAnsi" w:eastAsiaTheme="minorEastAsia" w:hAnsiTheme="minorHAnsi" w:cstheme="minorBidi"/>
                <w:noProof/>
                <w:kern w:val="2"/>
                <w14:ligatures w14:val="standardContextual"/>
              </w:rPr>
              <w:tab/>
            </w:r>
            <w:r w:rsidR="00D17683" w:rsidRPr="00FF36C2">
              <w:rPr>
                <w:rStyle w:val="Hyperlink"/>
                <w:noProof/>
              </w:rPr>
              <w:t>Federal Timely Warning Obligations</w:t>
            </w:r>
            <w:r w:rsidR="00D17683">
              <w:rPr>
                <w:noProof/>
                <w:webHidden/>
              </w:rPr>
              <w:tab/>
            </w:r>
            <w:r w:rsidR="00D17683">
              <w:rPr>
                <w:noProof/>
                <w:webHidden/>
              </w:rPr>
              <w:fldChar w:fldCharType="begin"/>
            </w:r>
            <w:r w:rsidR="00D17683">
              <w:rPr>
                <w:noProof/>
                <w:webHidden/>
              </w:rPr>
              <w:instrText xml:space="preserve"> PAGEREF _Toc168477516 \h </w:instrText>
            </w:r>
            <w:r w:rsidR="00D17683">
              <w:rPr>
                <w:noProof/>
                <w:webHidden/>
              </w:rPr>
            </w:r>
            <w:r w:rsidR="00D17683">
              <w:rPr>
                <w:noProof/>
                <w:webHidden/>
              </w:rPr>
              <w:fldChar w:fldCharType="separate"/>
            </w:r>
            <w:r w:rsidR="00D17683">
              <w:rPr>
                <w:noProof/>
                <w:webHidden/>
              </w:rPr>
              <w:t>32</w:t>
            </w:r>
            <w:r w:rsidR="00D17683">
              <w:rPr>
                <w:noProof/>
                <w:webHidden/>
              </w:rPr>
              <w:fldChar w:fldCharType="end"/>
            </w:r>
          </w:hyperlink>
        </w:p>
        <w:p w14:paraId="59AFBF38" w14:textId="320A5BCE" w:rsidR="00D17683" w:rsidRDefault="00000000">
          <w:pPr>
            <w:pStyle w:val="TOC1"/>
            <w:rPr>
              <w:rFonts w:asciiTheme="minorHAnsi" w:eastAsiaTheme="minorEastAsia" w:hAnsiTheme="minorHAnsi" w:cstheme="minorBidi"/>
              <w:noProof/>
              <w:kern w:val="2"/>
              <w14:ligatures w14:val="standardContextual"/>
            </w:rPr>
          </w:pPr>
          <w:hyperlink w:anchor="_Toc168477517" w:history="1">
            <w:r w:rsidR="00D17683" w:rsidRPr="00FF36C2">
              <w:rPr>
                <w:rStyle w:val="Hyperlink"/>
                <w:noProof/>
              </w:rPr>
              <w:t>20.</w:t>
            </w:r>
            <w:r w:rsidR="00D17683">
              <w:rPr>
                <w:rFonts w:asciiTheme="minorHAnsi" w:eastAsiaTheme="minorEastAsia" w:hAnsiTheme="minorHAnsi" w:cstheme="minorBidi"/>
                <w:noProof/>
                <w:kern w:val="2"/>
                <w14:ligatures w14:val="standardContextual"/>
              </w:rPr>
              <w:tab/>
            </w:r>
            <w:r w:rsidR="00D17683" w:rsidRPr="00FF36C2">
              <w:rPr>
                <w:rStyle w:val="Hyperlink"/>
                <w:noProof/>
              </w:rPr>
              <w:t>Amnesty</w:t>
            </w:r>
            <w:r w:rsidR="00D17683">
              <w:rPr>
                <w:noProof/>
                <w:webHidden/>
              </w:rPr>
              <w:tab/>
            </w:r>
            <w:r w:rsidR="00D17683">
              <w:rPr>
                <w:noProof/>
                <w:webHidden/>
              </w:rPr>
              <w:fldChar w:fldCharType="begin"/>
            </w:r>
            <w:r w:rsidR="00D17683">
              <w:rPr>
                <w:noProof/>
                <w:webHidden/>
              </w:rPr>
              <w:instrText xml:space="preserve"> PAGEREF _Toc168477517 \h </w:instrText>
            </w:r>
            <w:r w:rsidR="00D17683">
              <w:rPr>
                <w:noProof/>
                <w:webHidden/>
              </w:rPr>
            </w:r>
            <w:r w:rsidR="00D17683">
              <w:rPr>
                <w:noProof/>
                <w:webHidden/>
              </w:rPr>
              <w:fldChar w:fldCharType="separate"/>
            </w:r>
            <w:r w:rsidR="00D17683">
              <w:rPr>
                <w:noProof/>
                <w:webHidden/>
              </w:rPr>
              <w:t>32</w:t>
            </w:r>
            <w:r w:rsidR="00D17683">
              <w:rPr>
                <w:noProof/>
                <w:webHidden/>
              </w:rPr>
              <w:fldChar w:fldCharType="end"/>
            </w:r>
          </w:hyperlink>
        </w:p>
        <w:p w14:paraId="4647B3C4" w14:textId="113FA9CA" w:rsidR="00D17683" w:rsidRDefault="00000000">
          <w:pPr>
            <w:pStyle w:val="TOC2"/>
            <w:rPr>
              <w:rFonts w:asciiTheme="minorHAnsi" w:eastAsiaTheme="minorEastAsia" w:hAnsiTheme="minorHAnsi" w:cstheme="minorBidi"/>
              <w:noProof/>
              <w:kern w:val="2"/>
              <w14:ligatures w14:val="standardContextual"/>
            </w:rPr>
          </w:pPr>
          <w:hyperlink w:anchor="_Toc168477518"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Students</w:t>
            </w:r>
            <w:r w:rsidR="00D17683">
              <w:rPr>
                <w:noProof/>
                <w:webHidden/>
              </w:rPr>
              <w:tab/>
            </w:r>
            <w:r w:rsidR="00D17683">
              <w:rPr>
                <w:noProof/>
                <w:webHidden/>
              </w:rPr>
              <w:fldChar w:fldCharType="begin"/>
            </w:r>
            <w:r w:rsidR="00D17683">
              <w:rPr>
                <w:noProof/>
                <w:webHidden/>
              </w:rPr>
              <w:instrText xml:space="preserve"> PAGEREF _Toc168477518 \h </w:instrText>
            </w:r>
            <w:r w:rsidR="00D17683">
              <w:rPr>
                <w:noProof/>
                <w:webHidden/>
              </w:rPr>
            </w:r>
            <w:r w:rsidR="00D17683">
              <w:rPr>
                <w:noProof/>
                <w:webHidden/>
              </w:rPr>
              <w:fldChar w:fldCharType="separate"/>
            </w:r>
            <w:r w:rsidR="00D17683">
              <w:rPr>
                <w:noProof/>
                <w:webHidden/>
              </w:rPr>
              <w:t>33</w:t>
            </w:r>
            <w:r w:rsidR="00D17683">
              <w:rPr>
                <w:noProof/>
                <w:webHidden/>
              </w:rPr>
              <w:fldChar w:fldCharType="end"/>
            </w:r>
          </w:hyperlink>
        </w:p>
        <w:p w14:paraId="47C839AC" w14:textId="60F79EF4" w:rsidR="00D17683" w:rsidRDefault="00000000">
          <w:pPr>
            <w:pStyle w:val="TOC2"/>
            <w:rPr>
              <w:rFonts w:asciiTheme="minorHAnsi" w:eastAsiaTheme="minorEastAsia" w:hAnsiTheme="minorHAnsi" w:cstheme="minorBidi"/>
              <w:noProof/>
              <w:kern w:val="2"/>
              <w14:ligatures w14:val="standardContextual"/>
            </w:rPr>
          </w:pPr>
          <w:hyperlink w:anchor="_Toc168477519"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Employees</w:t>
            </w:r>
            <w:r w:rsidR="00D17683">
              <w:rPr>
                <w:noProof/>
                <w:webHidden/>
              </w:rPr>
              <w:tab/>
            </w:r>
            <w:r w:rsidR="00D17683">
              <w:rPr>
                <w:noProof/>
                <w:webHidden/>
              </w:rPr>
              <w:fldChar w:fldCharType="begin"/>
            </w:r>
            <w:r w:rsidR="00D17683">
              <w:rPr>
                <w:noProof/>
                <w:webHidden/>
              </w:rPr>
              <w:instrText xml:space="preserve"> PAGEREF _Toc168477519 \h </w:instrText>
            </w:r>
            <w:r w:rsidR="00D17683">
              <w:rPr>
                <w:noProof/>
                <w:webHidden/>
              </w:rPr>
            </w:r>
            <w:r w:rsidR="00D17683">
              <w:rPr>
                <w:noProof/>
                <w:webHidden/>
              </w:rPr>
              <w:fldChar w:fldCharType="separate"/>
            </w:r>
            <w:r w:rsidR="00D17683">
              <w:rPr>
                <w:noProof/>
                <w:webHidden/>
              </w:rPr>
              <w:t>33</w:t>
            </w:r>
            <w:r w:rsidR="00D17683">
              <w:rPr>
                <w:noProof/>
                <w:webHidden/>
              </w:rPr>
              <w:fldChar w:fldCharType="end"/>
            </w:r>
          </w:hyperlink>
        </w:p>
        <w:p w14:paraId="675962A9" w14:textId="04321F06" w:rsidR="00D17683" w:rsidRDefault="00000000">
          <w:pPr>
            <w:pStyle w:val="TOC1"/>
            <w:rPr>
              <w:rFonts w:asciiTheme="minorHAnsi" w:eastAsiaTheme="minorEastAsia" w:hAnsiTheme="minorHAnsi" w:cstheme="minorBidi"/>
              <w:noProof/>
              <w:kern w:val="2"/>
              <w14:ligatures w14:val="standardContextual"/>
            </w:rPr>
          </w:pPr>
          <w:hyperlink w:anchor="_Toc168477520" w:history="1">
            <w:r w:rsidR="00D17683" w:rsidRPr="00FF36C2">
              <w:rPr>
                <w:rStyle w:val="Hyperlink"/>
                <w:noProof/>
              </w:rPr>
              <w:t>21.</w:t>
            </w:r>
            <w:r w:rsidR="00D17683">
              <w:rPr>
                <w:rFonts w:asciiTheme="minorHAnsi" w:eastAsiaTheme="minorEastAsia" w:hAnsiTheme="minorHAnsi" w:cstheme="minorBidi"/>
                <w:noProof/>
                <w:kern w:val="2"/>
                <w14:ligatures w14:val="standardContextual"/>
              </w:rPr>
              <w:tab/>
            </w:r>
            <w:r w:rsidR="00D17683" w:rsidRPr="00FF36C2">
              <w:rPr>
                <w:rStyle w:val="Hyperlink"/>
                <w:noProof/>
              </w:rPr>
              <w:t>Preservation of Evidence</w:t>
            </w:r>
            <w:r w:rsidR="00D17683">
              <w:rPr>
                <w:noProof/>
                <w:webHidden/>
              </w:rPr>
              <w:tab/>
            </w:r>
            <w:r w:rsidR="00D17683">
              <w:rPr>
                <w:noProof/>
                <w:webHidden/>
              </w:rPr>
              <w:fldChar w:fldCharType="begin"/>
            </w:r>
            <w:r w:rsidR="00D17683">
              <w:rPr>
                <w:noProof/>
                <w:webHidden/>
              </w:rPr>
              <w:instrText xml:space="preserve"> PAGEREF _Toc168477520 \h </w:instrText>
            </w:r>
            <w:r w:rsidR="00D17683">
              <w:rPr>
                <w:noProof/>
                <w:webHidden/>
              </w:rPr>
            </w:r>
            <w:r w:rsidR="00D17683">
              <w:rPr>
                <w:noProof/>
                <w:webHidden/>
              </w:rPr>
              <w:fldChar w:fldCharType="separate"/>
            </w:r>
            <w:r w:rsidR="00D17683">
              <w:rPr>
                <w:noProof/>
                <w:webHidden/>
              </w:rPr>
              <w:t>33</w:t>
            </w:r>
            <w:r w:rsidR="00D17683">
              <w:rPr>
                <w:noProof/>
                <w:webHidden/>
              </w:rPr>
              <w:fldChar w:fldCharType="end"/>
            </w:r>
          </w:hyperlink>
        </w:p>
        <w:p w14:paraId="6B2ACBCD" w14:textId="1BC1848A" w:rsidR="00D17683" w:rsidRDefault="00000000">
          <w:pPr>
            <w:pStyle w:val="TOC1"/>
            <w:rPr>
              <w:rFonts w:asciiTheme="minorHAnsi" w:eastAsiaTheme="minorEastAsia" w:hAnsiTheme="minorHAnsi" w:cstheme="minorBidi"/>
              <w:noProof/>
              <w:kern w:val="2"/>
              <w14:ligatures w14:val="standardContextual"/>
            </w:rPr>
          </w:pPr>
          <w:hyperlink w:anchor="_Toc168477521" w:history="1">
            <w:r w:rsidR="00D17683" w:rsidRPr="00FF36C2">
              <w:rPr>
                <w:rStyle w:val="Hyperlink"/>
                <w:noProof/>
              </w:rPr>
              <w:t>22.</w:t>
            </w:r>
            <w:r w:rsidR="00D17683">
              <w:rPr>
                <w:rFonts w:asciiTheme="minorHAnsi" w:eastAsiaTheme="minorEastAsia" w:hAnsiTheme="minorHAnsi" w:cstheme="minorBidi"/>
                <w:noProof/>
                <w:kern w:val="2"/>
                <w14:ligatures w14:val="standardContextual"/>
              </w:rPr>
              <w:tab/>
            </w:r>
            <w:r w:rsidR="00D17683" w:rsidRPr="00FF36C2">
              <w:rPr>
                <w:rStyle w:val="Hyperlink"/>
                <w:noProof/>
              </w:rPr>
              <w:t>Federal Statistical Reporting Obligations</w:t>
            </w:r>
            <w:r w:rsidR="00D17683">
              <w:rPr>
                <w:noProof/>
                <w:webHidden/>
              </w:rPr>
              <w:tab/>
            </w:r>
            <w:r w:rsidR="00D17683">
              <w:rPr>
                <w:noProof/>
                <w:webHidden/>
              </w:rPr>
              <w:fldChar w:fldCharType="begin"/>
            </w:r>
            <w:r w:rsidR="00D17683">
              <w:rPr>
                <w:noProof/>
                <w:webHidden/>
              </w:rPr>
              <w:instrText xml:space="preserve"> PAGEREF _Toc168477521 \h </w:instrText>
            </w:r>
            <w:r w:rsidR="00D17683">
              <w:rPr>
                <w:noProof/>
                <w:webHidden/>
              </w:rPr>
            </w:r>
            <w:r w:rsidR="00D17683">
              <w:rPr>
                <w:noProof/>
                <w:webHidden/>
              </w:rPr>
              <w:fldChar w:fldCharType="separate"/>
            </w:r>
            <w:r w:rsidR="00D17683">
              <w:rPr>
                <w:noProof/>
                <w:webHidden/>
              </w:rPr>
              <w:t>34</w:t>
            </w:r>
            <w:r w:rsidR="00D17683">
              <w:rPr>
                <w:noProof/>
                <w:webHidden/>
              </w:rPr>
              <w:fldChar w:fldCharType="end"/>
            </w:r>
          </w:hyperlink>
        </w:p>
        <w:p w14:paraId="63D97294" w14:textId="73919A27" w:rsidR="00D17683" w:rsidRDefault="00000000">
          <w:pPr>
            <w:pStyle w:val="TOC1"/>
            <w:rPr>
              <w:rFonts w:asciiTheme="minorHAnsi" w:eastAsiaTheme="minorEastAsia" w:hAnsiTheme="minorHAnsi" w:cstheme="minorBidi"/>
              <w:noProof/>
              <w:kern w:val="2"/>
              <w14:ligatures w14:val="standardContextual"/>
            </w:rPr>
          </w:pPr>
          <w:hyperlink w:anchor="_Toc168477522" w:history="1">
            <w:r w:rsidR="00D17683" w:rsidRPr="00FF36C2">
              <w:rPr>
                <w:rStyle w:val="Hyperlink"/>
                <w:noProof/>
              </w:rPr>
              <w:t>23.</w:t>
            </w:r>
            <w:r w:rsidR="00D17683">
              <w:rPr>
                <w:rFonts w:asciiTheme="minorHAnsi" w:eastAsiaTheme="minorEastAsia" w:hAnsiTheme="minorHAnsi" w:cstheme="minorBidi"/>
                <w:noProof/>
                <w:kern w:val="2"/>
                <w14:ligatures w14:val="standardContextual"/>
              </w:rPr>
              <w:tab/>
            </w:r>
            <w:r w:rsidR="00D17683" w:rsidRPr="00FF36C2">
              <w:rPr>
                <w:rStyle w:val="Hyperlink"/>
                <w:noProof/>
              </w:rPr>
              <w:t>Independence and Conflicts of Interest</w:t>
            </w:r>
            <w:r w:rsidR="00D17683">
              <w:rPr>
                <w:noProof/>
                <w:webHidden/>
              </w:rPr>
              <w:tab/>
            </w:r>
            <w:r w:rsidR="00D17683">
              <w:rPr>
                <w:noProof/>
                <w:webHidden/>
              </w:rPr>
              <w:fldChar w:fldCharType="begin"/>
            </w:r>
            <w:r w:rsidR="00D17683">
              <w:rPr>
                <w:noProof/>
                <w:webHidden/>
              </w:rPr>
              <w:instrText xml:space="preserve"> PAGEREF _Toc168477522 \h </w:instrText>
            </w:r>
            <w:r w:rsidR="00D17683">
              <w:rPr>
                <w:noProof/>
                <w:webHidden/>
              </w:rPr>
            </w:r>
            <w:r w:rsidR="00D17683">
              <w:rPr>
                <w:noProof/>
                <w:webHidden/>
              </w:rPr>
              <w:fldChar w:fldCharType="separate"/>
            </w:r>
            <w:r w:rsidR="00D17683">
              <w:rPr>
                <w:noProof/>
                <w:webHidden/>
              </w:rPr>
              <w:t>35</w:t>
            </w:r>
            <w:r w:rsidR="00D17683">
              <w:rPr>
                <w:noProof/>
                <w:webHidden/>
              </w:rPr>
              <w:fldChar w:fldCharType="end"/>
            </w:r>
          </w:hyperlink>
        </w:p>
        <w:p w14:paraId="280D8264" w14:textId="2256680E" w:rsidR="00D17683" w:rsidRDefault="00000000">
          <w:pPr>
            <w:pStyle w:val="TOC1"/>
            <w:rPr>
              <w:rFonts w:asciiTheme="minorHAnsi" w:eastAsiaTheme="minorEastAsia" w:hAnsiTheme="minorHAnsi" w:cstheme="minorBidi"/>
              <w:noProof/>
              <w:kern w:val="2"/>
              <w14:ligatures w14:val="standardContextual"/>
            </w:rPr>
          </w:pPr>
          <w:hyperlink w:anchor="_Toc168477523" w:history="1">
            <w:r w:rsidR="00D17683" w:rsidRPr="00FF36C2">
              <w:rPr>
                <w:rStyle w:val="Hyperlink"/>
                <w:noProof/>
              </w:rPr>
              <w:t>24.</w:t>
            </w:r>
            <w:r w:rsidR="00D17683">
              <w:rPr>
                <w:rFonts w:asciiTheme="minorHAnsi" w:eastAsiaTheme="minorEastAsia" w:hAnsiTheme="minorHAnsi" w:cstheme="minorBidi"/>
                <w:noProof/>
                <w:kern w:val="2"/>
                <w14:ligatures w14:val="standardContextual"/>
              </w:rPr>
              <w:tab/>
            </w:r>
            <w:r w:rsidR="00D17683" w:rsidRPr="00FF36C2">
              <w:rPr>
                <w:rStyle w:val="Hyperlink"/>
                <w:noProof/>
              </w:rPr>
              <w:t>Revision of this Policy</w:t>
            </w:r>
            <w:r w:rsidR="00D17683">
              <w:rPr>
                <w:noProof/>
                <w:webHidden/>
              </w:rPr>
              <w:tab/>
            </w:r>
            <w:r w:rsidR="00D17683">
              <w:rPr>
                <w:noProof/>
                <w:webHidden/>
              </w:rPr>
              <w:fldChar w:fldCharType="begin"/>
            </w:r>
            <w:r w:rsidR="00D17683">
              <w:rPr>
                <w:noProof/>
                <w:webHidden/>
              </w:rPr>
              <w:instrText xml:space="preserve"> PAGEREF _Toc168477523 \h </w:instrText>
            </w:r>
            <w:r w:rsidR="00D17683">
              <w:rPr>
                <w:noProof/>
                <w:webHidden/>
              </w:rPr>
            </w:r>
            <w:r w:rsidR="00D17683">
              <w:rPr>
                <w:noProof/>
                <w:webHidden/>
              </w:rPr>
              <w:fldChar w:fldCharType="separate"/>
            </w:r>
            <w:r w:rsidR="00D17683">
              <w:rPr>
                <w:noProof/>
                <w:webHidden/>
              </w:rPr>
              <w:t>35</w:t>
            </w:r>
            <w:r w:rsidR="00D17683">
              <w:rPr>
                <w:noProof/>
                <w:webHidden/>
              </w:rPr>
              <w:fldChar w:fldCharType="end"/>
            </w:r>
          </w:hyperlink>
        </w:p>
        <w:p w14:paraId="294FFC03" w14:textId="64D2683B" w:rsidR="00D17683" w:rsidRDefault="00000000">
          <w:pPr>
            <w:pStyle w:val="TOC1"/>
            <w:rPr>
              <w:rFonts w:asciiTheme="minorHAnsi" w:eastAsiaTheme="minorEastAsia" w:hAnsiTheme="minorHAnsi" w:cstheme="minorBidi"/>
              <w:noProof/>
              <w:kern w:val="2"/>
              <w14:ligatures w14:val="standardContextual"/>
            </w:rPr>
          </w:pPr>
          <w:hyperlink w:anchor="_Toc168477524" w:history="1">
            <w:r w:rsidR="00D17683" w:rsidRPr="00FF36C2">
              <w:rPr>
                <w:rStyle w:val="Hyperlink"/>
                <w:noProof/>
              </w:rPr>
              <w:t>1.</w:t>
            </w:r>
            <w:r w:rsidR="00D17683">
              <w:rPr>
                <w:rFonts w:asciiTheme="minorHAnsi" w:eastAsiaTheme="minorEastAsia" w:hAnsiTheme="minorHAnsi" w:cstheme="minorBidi"/>
                <w:noProof/>
                <w:kern w:val="2"/>
                <w14:ligatures w14:val="standardContextual"/>
              </w:rPr>
              <w:tab/>
            </w:r>
            <w:r w:rsidR="00D17683" w:rsidRPr="00FF36C2">
              <w:rPr>
                <w:rStyle w:val="Hyperlink"/>
                <w:noProof/>
              </w:rPr>
              <w:t>Overview</w:t>
            </w:r>
            <w:r w:rsidR="00D17683">
              <w:rPr>
                <w:noProof/>
                <w:webHidden/>
              </w:rPr>
              <w:tab/>
            </w:r>
            <w:r w:rsidR="00D17683">
              <w:rPr>
                <w:noProof/>
                <w:webHidden/>
              </w:rPr>
              <w:fldChar w:fldCharType="begin"/>
            </w:r>
            <w:r w:rsidR="00D17683">
              <w:rPr>
                <w:noProof/>
                <w:webHidden/>
              </w:rPr>
              <w:instrText xml:space="preserve"> PAGEREF _Toc168477524 \h </w:instrText>
            </w:r>
            <w:r w:rsidR="00D17683">
              <w:rPr>
                <w:noProof/>
                <w:webHidden/>
              </w:rPr>
            </w:r>
            <w:r w:rsidR="00D17683">
              <w:rPr>
                <w:noProof/>
                <w:webHidden/>
              </w:rPr>
              <w:fldChar w:fldCharType="separate"/>
            </w:r>
            <w:r w:rsidR="00D17683">
              <w:rPr>
                <w:noProof/>
                <w:webHidden/>
              </w:rPr>
              <w:t>36</w:t>
            </w:r>
            <w:r w:rsidR="00D17683">
              <w:rPr>
                <w:noProof/>
                <w:webHidden/>
              </w:rPr>
              <w:fldChar w:fldCharType="end"/>
            </w:r>
          </w:hyperlink>
        </w:p>
        <w:p w14:paraId="7C83D614" w14:textId="1E58E741" w:rsidR="00D17683" w:rsidRDefault="00000000">
          <w:pPr>
            <w:pStyle w:val="TOC1"/>
            <w:rPr>
              <w:rFonts w:asciiTheme="minorHAnsi" w:eastAsiaTheme="minorEastAsia" w:hAnsiTheme="minorHAnsi" w:cstheme="minorBidi"/>
              <w:noProof/>
              <w:kern w:val="2"/>
              <w14:ligatures w14:val="standardContextual"/>
            </w:rPr>
          </w:pPr>
          <w:hyperlink w:anchor="_Toc168477525" w:history="1">
            <w:r w:rsidR="00D17683" w:rsidRPr="00FF36C2">
              <w:rPr>
                <w:rStyle w:val="Hyperlink"/>
                <w:noProof/>
              </w:rPr>
              <w:t>2.</w:t>
            </w:r>
            <w:r w:rsidR="00D17683">
              <w:rPr>
                <w:rFonts w:asciiTheme="minorHAnsi" w:eastAsiaTheme="minorEastAsia" w:hAnsiTheme="minorHAnsi" w:cstheme="minorBidi"/>
                <w:noProof/>
                <w:kern w:val="2"/>
                <w14:ligatures w14:val="standardContextual"/>
              </w:rPr>
              <w:tab/>
            </w:r>
            <w:r w:rsidR="00D17683" w:rsidRPr="00FF36C2">
              <w:rPr>
                <w:rStyle w:val="Hyperlink"/>
                <w:noProof/>
              </w:rPr>
              <w:t>Notice/Complaint</w:t>
            </w:r>
            <w:r w:rsidR="00D17683">
              <w:rPr>
                <w:noProof/>
                <w:webHidden/>
              </w:rPr>
              <w:tab/>
            </w:r>
            <w:r w:rsidR="00D17683">
              <w:rPr>
                <w:noProof/>
                <w:webHidden/>
              </w:rPr>
              <w:fldChar w:fldCharType="begin"/>
            </w:r>
            <w:r w:rsidR="00D17683">
              <w:rPr>
                <w:noProof/>
                <w:webHidden/>
              </w:rPr>
              <w:instrText xml:space="preserve"> PAGEREF _Toc168477525 \h </w:instrText>
            </w:r>
            <w:r w:rsidR="00D17683">
              <w:rPr>
                <w:noProof/>
                <w:webHidden/>
              </w:rPr>
            </w:r>
            <w:r w:rsidR="00D17683">
              <w:rPr>
                <w:noProof/>
                <w:webHidden/>
              </w:rPr>
              <w:fldChar w:fldCharType="separate"/>
            </w:r>
            <w:r w:rsidR="00D17683">
              <w:rPr>
                <w:noProof/>
                <w:webHidden/>
              </w:rPr>
              <w:t>36</w:t>
            </w:r>
            <w:r w:rsidR="00D17683">
              <w:rPr>
                <w:noProof/>
                <w:webHidden/>
              </w:rPr>
              <w:fldChar w:fldCharType="end"/>
            </w:r>
          </w:hyperlink>
        </w:p>
        <w:p w14:paraId="68B8B90C" w14:textId="1DA1CDCB" w:rsidR="00D17683" w:rsidRDefault="00000000">
          <w:pPr>
            <w:pStyle w:val="TOC1"/>
            <w:rPr>
              <w:rFonts w:asciiTheme="minorHAnsi" w:eastAsiaTheme="minorEastAsia" w:hAnsiTheme="minorHAnsi" w:cstheme="minorBidi"/>
              <w:noProof/>
              <w:kern w:val="2"/>
              <w14:ligatures w14:val="standardContextual"/>
            </w:rPr>
          </w:pPr>
          <w:hyperlink w:anchor="_Toc168477526" w:history="1">
            <w:r w:rsidR="00D17683" w:rsidRPr="00FF36C2">
              <w:rPr>
                <w:rStyle w:val="Hyperlink"/>
                <w:noProof/>
              </w:rPr>
              <w:t>3.</w:t>
            </w:r>
            <w:r w:rsidR="00D17683">
              <w:rPr>
                <w:rFonts w:asciiTheme="minorHAnsi" w:eastAsiaTheme="minorEastAsia" w:hAnsiTheme="minorHAnsi" w:cstheme="minorBidi"/>
                <w:noProof/>
                <w:kern w:val="2"/>
                <w14:ligatures w14:val="standardContextual"/>
              </w:rPr>
              <w:tab/>
            </w:r>
            <w:r w:rsidR="00D17683" w:rsidRPr="00FF36C2">
              <w:rPr>
                <w:rStyle w:val="Hyperlink"/>
                <w:noProof/>
              </w:rPr>
              <w:t>Collateral Misconduct</w:t>
            </w:r>
            <w:r w:rsidR="00D17683">
              <w:rPr>
                <w:noProof/>
                <w:webHidden/>
              </w:rPr>
              <w:tab/>
            </w:r>
            <w:r w:rsidR="00D17683">
              <w:rPr>
                <w:noProof/>
                <w:webHidden/>
              </w:rPr>
              <w:fldChar w:fldCharType="begin"/>
            </w:r>
            <w:r w:rsidR="00D17683">
              <w:rPr>
                <w:noProof/>
                <w:webHidden/>
              </w:rPr>
              <w:instrText xml:space="preserve"> PAGEREF _Toc168477526 \h </w:instrText>
            </w:r>
            <w:r w:rsidR="00D17683">
              <w:rPr>
                <w:noProof/>
                <w:webHidden/>
              </w:rPr>
            </w:r>
            <w:r w:rsidR="00D17683">
              <w:rPr>
                <w:noProof/>
                <w:webHidden/>
              </w:rPr>
              <w:fldChar w:fldCharType="separate"/>
            </w:r>
            <w:r w:rsidR="00D17683">
              <w:rPr>
                <w:noProof/>
                <w:webHidden/>
              </w:rPr>
              <w:t>36</w:t>
            </w:r>
            <w:r w:rsidR="00D17683">
              <w:rPr>
                <w:noProof/>
                <w:webHidden/>
              </w:rPr>
              <w:fldChar w:fldCharType="end"/>
            </w:r>
          </w:hyperlink>
        </w:p>
        <w:p w14:paraId="119FDDE6" w14:textId="0765A8E4" w:rsidR="00D17683" w:rsidRDefault="00000000">
          <w:pPr>
            <w:pStyle w:val="TOC1"/>
            <w:rPr>
              <w:rFonts w:asciiTheme="minorHAnsi" w:eastAsiaTheme="minorEastAsia" w:hAnsiTheme="minorHAnsi" w:cstheme="minorBidi"/>
              <w:noProof/>
              <w:kern w:val="2"/>
              <w14:ligatures w14:val="standardContextual"/>
            </w:rPr>
          </w:pPr>
          <w:hyperlink w:anchor="_Toc168477527" w:history="1">
            <w:r w:rsidR="00D17683" w:rsidRPr="00FF36C2">
              <w:rPr>
                <w:rStyle w:val="Hyperlink"/>
                <w:noProof/>
              </w:rPr>
              <w:t>4.</w:t>
            </w:r>
            <w:r w:rsidR="00D17683">
              <w:rPr>
                <w:rFonts w:asciiTheme="minorHAnsi" w:eastAsiaTheme="minorEastAsia" w:hAnsiTheme="minorHAnsi" w:cstheme="minorBidi"/>
                <w:noProof/>
                <w:kern w:val="2"/>
                <w14:ligatures w14:val="standardContextual"/>
              </w:rPr>
              <w:tab/>
            </w:r>
            <w:r w:rsidR="00D17683" w:rsidRPr="00FF36C2">
              <w:rPr>
                <w:rStyle w:val="Hyperlink"/>
                <w:noProof/>
              </w:rPr>
              <w:t>Initial Evaluation</w:t>
            </w:r>
            <w:r w:rsidR="00D17683">
              <w:rPr>
                <w:noProof/>
                <w:webHidden/>
              </w:rPr>
              <w:tab/>
            </w:r>
            <w:r w:rsidR="00D17683">
              <w:rPr>
                <w:noProof/>
                <w:webHidden/>
              </w:rPr>
              <w:fldChar w:fldCharType="begin"/>
            </w:r>
            <w:r w:rsidR="00D17683">
              <w:rPr>
                <w:noProof/>
                <w:webHidden/>
              </w:rPr>
              <w:instrText xml:space="preserve"> PAGEREF _Toc168477527 \h </w:instrText>
            </w:r>
            <w:r w:rsidR="00D17683">
              <w:rPr>
                <w:noProof/>
                <w:webHidden/>
              </w:rPr>
            </w:r>
            <w:r w:rsidR="00D17683">
              <w:rPr>
                <w:noProof/>
                <w:webHidden/>
              </w:rPr>
              <w:fldChar w:fldCharType="separate"/>
            </w:r>
            <w:r w:rsidR="00D17683">
              <w:rPr>
                <w:noProof/>
                <w:webHidden/>
              </w:rPr>
              <w:t>37</w:t>
            </w:r>
            <w:r w:rsidR="00D17683">
              <w:rPr>
                <w:noProof/>
                <w:webHidden/>
              </w:rPr>
              <w:fldChar w:fldCharType="end"/>
            </w:r>
          </w:hyperlink>
        </w:p>
        <w:p w14:paraId="3D10808B" w14:textId="29F7D454" w:rsidR="00D17683" w:rsidRDefault="00000000">
          <w:pPr>
            <w:pStyle w:val="TOC1"/>
            <w:rPr>
              <w:rFonts w:asciiTheme="minorHAnsi" w:eastAsiaTheme="minorEastAsia" w:hAnsiTheme="minorHAnsi" w:cstheme="minorBidi"/>
              <w:noProof/>
              <w:kern w:val="2"/>
              <w14:ligatures w14:val="standardContextual"/>
            </w:rPr>
          </w:pPr>
          <w:hyperlink w:anchor="_Toc168477528" w:history="1">
            <w:r w:rsidR="00D17683" w:rsidRPr="00FF36C2">
              <w:rPr>
                <w:rStyle w:val="Hyperlink"/>
                <w:noProof/>
              </w:rPr>
              <w:t>5.</w:t>
            </w:r>
            <w:r w:rsidR="00D17683">
              <w:rPr>
                <w:rFonts w:asciiTheme="minorHAnsi" w:eastAsiaTheme="minorEastAsia" w:hAnsiTheme="minorHAnsi" w:cstheme="minorBidi"/>
                <w:noProof/>
                <w:kern w:val="2"/>
                <w14:ligatures w14:val="standardContextual"/>
              </w:rPr>
              <w:tab/>
            </w:r>
            <w:r w:rsidR="00D17683" w:rsidRPr="00FF36C2">
              <w:rPr>
                <w:rStyle w:val="Hyperlink"/>
                <w:noProof/>
              </w:rPr>
              <w:t>Dismissal</w:t>
            </w:r>
            <w:r w:rsidR="00D17683">
              <w:rPr>
                <w:noProof/>
                <w:webHidden/>
              </w:rPr>
              <w:tab/>
            </w:r>
            <w:r w:rsidR="00D17683">
              <w:rPr>
                <w:noProof/>
                <w:webHidden/>
              </w:rPr>
              <w:fldChar w:fldCharType="begin"/>
            </w:r>
            <w:r w:rsidR="00D17683">
              <w:rPr>
                <w:noProof/>
                <w:webHidden/>
              </w:rPr>
              <w:instrText xml:space="preserve"> PAGEREF _Toc168477528 \h </w:instrText>
            </w:r>
            <w:r w:rsidR="00D17683">
              <w:rPr>
                <w:noProof/>
                <w:webHidden/>
              </w:rPr>
            </w:r>
            <w:r w:rsidR="00D17683">
              <w:rPr>
                <w:noProof/>
                <w:webHidden/>
              </w:rPr>
              <w:fldChar w:fldCharType="separate"/>
            </w:r>
            <w:r w:rsidR="00D17683">
              <w:rPr>
                <w:noProof/>
                <w:webHidden/>
              </w:rPr>
              <w:t>39</w:t>
            </w:r>
            <w:r w:rsidR="00D17683">
              <w:rPr>
                <w:noProof/>
                <w:webHidden/>
              </w:rPr>
              <w:fldChar w:fldCharType="end"/>
            </w:r>
          </w:hyperlink>
        </w:p>
        <w:p w14:paraId="3D2032FB" w14:textId="23BFC149" w:rsidR="00D17683" w:rsidRDefault="00000000">
          <w:pPr>
            <w:pStyle w:val="TOC1"/>
            <w:rPr>
              <w:rFonts w:asciiTheme="minorHAnsi" w:eastAsiaTheme="minorEastAsia" w:hAnsiTheme="minorHAnsi" w:cstheme="minorBidi"/>
              <w:noProof/>
              <w:kern w:val="2"/>
              <w14:ligatures w14:val="standardContextual"/>
            </w:rPr>
          </w:pPr>
          <w:hyperlink w:anchor="_Toc168477529" w:history="1">
            <w:r w:rsidR="00D17683" w:rsidRPr="00FF36C2">
              <w:rPr>
                <w:rStyle w:val="Hyperlink"/>
                <w:noProof/>
              </w:rPr>
              <w:t>6.</w:t>
            </w:r>
            <w:r w:rsidR="00D17683">
              <w:rPr>
                <w:rFonts w:asciiTheme="minorHAnsi" w:eastAsiaTheme="minorEastAsia" w:hAnsiTheme="minorHAnsi" w:cstheme="minorBidi"/>
                <w:noProof/>
                <w:kern w:val="2"/>
                <w14:ligatures w14:val="standardContextual"/>
              </w:rPr>
              <w:tab/>
            </w:r>
            <w:r w:rsidR="00D17683" w:rsidRPr="00FF36C2">
              <w:rPr>
                <w:rStyle w:val="Hyperlink"/>
                <w:noProof/>
              </w:rPr>
              <w:t>Appeal of Dismissal</w:t>
            </w:r>
            <w:r w:rsidR="00D17683">
              <w:rPr>
                <w:noProof/>
                <w:webHidden/>
              </w:rPr>
              <w:tab/>
            </w:r>
            <w:r w:rsidR="00D17683">
              <w:rPr>
                <w:noProof/>
                <w:webHidden/>
              </w:rPr>
              <w:fldChar w:fldCharType="begin"/>
            </w:r>
            <w:r w:rsidR="00D17683">
              <w:rPr>
                <w:noProof/>
                <w:webHidden/>
              </w:rPr>
              <w:instrText xml:space="preserve"> PAGEREF _Toc168477529 \h </w:instrText>
            </w:r>
            <w:r w:rsidR="00D17683">
              <w:rPr>
                <w:noProof/>
                <w:webHidden/>
              </w:rPr>
            </w:r>
            <w:r w:rsidR="00D17683">
              <w:rPr>
                <w:noProof/>
                <w:webHidden/>
              </w:rPr>
              <w:fldChar w:fldCharType="separate"/>
            </w:r>
            <w:r w:rsidR="00D17683">
              <w:rPr>
                <w:noProof/>
                <w:webHidden/>
              </w:rPr>
              <w:t>39</w:t>
            </w:r>
            <w:r w:rsidR="00D17683">
              <w:rPr>
                <w:noProof/>
                <w:webHidden/>
              </w:rPr>
              <w:fldChar w:fldCharType="end"/>
            </w:r>
          </w:hyperlink>
        </w:p>
        <w:p w14:paraId="1750A2E6" w14:textId="3745E4E3" w:rsidR="00D17683" w:rsidRDefault="00000000">
          <w:pPr>
            <w:pStyle w:val="TOC1"/>
            <w:rPr>
              <w:rFonts w:asciiTheme="minorHAnsi" w:eastAsiaTheme="minorEastAsia" w:hAnsiTheme="minorHAnsi" w:cstheme="minorBidi"/>
              <w:noProof/>
              <w:kern w:val="2"/>
              <w14:ligatures w14:val="standardContextual"/>
            </w:rPr>
          </w:pPr>
          <w:hyperlink w:anchor="_Toc168477530" w:history="1">
            <w:r w:rsidR="00D17683" w:rsidRPr="00FF36C2">
              <w:rPr>
                <w:rStyle w:val="Hyperlink"/>
                <w:noProof/>
              </w:rPr>
              <w:t>7.</w:t>
            </w:r>
            <w:r w:rsidR="00D17683">
              <w:rPr>
                <w:rFonts w:asciiTheme="minorHAnsi" w:eastAsiaTheme="minorEastAsia" w:hAnsiTheme="minorHAnsi" w:cstheme="minorBidi"/>
                <w:noProof/>
                <w:kern w:val="2"/>
                <w14:ligatures w14:val="standardContextual"/>
              </w:rPr>
              <w:tab/>
            </w:r>
            <w:r w:rsidR="00D17683" w:rsidRPr="00FF36C2">
              <w:rPr>
                <w:rStyle w:val="Hyperlink"/>
                <w:noProof/>
              </w:rPr>
              <w:t>Emergency Removal/Interim Suspension of a Student</w:t>
            </w:r>
            <w:r w:rsidR="00D17683">
              <w:rPr>
                <w:noProof/>
                <w:webHidden/>
              </w:rPr>
              <w:tab/>
            </w:r>
            <w:r w:rsidR="00D17683">
              <w:rPr>
                <w:noProof/>
                <w:webHidden/>
              </w:rPr>
              <w:fldChar w:fldCharType="begin"/>
            </w:r>
            <w:r w:rsidR="00D17683">
              <w:rPr>
                <w:noProof/>
                <w:webHidden/>
              </w:rPr>
              <w:instrText xml:space="preserve"> PAGEREF _Toc168477530 \h </w:instrText>
            </w:r>
            <w:r w:rsidR="00D17683">
              <w:rPr>
                <w:noProof/>
                <w:webHidden/>
              </w:rPr>
            </w:r>
            <w:r w:rsidR="00D17683">
              <w:rPr>
                <w:noProof/>
                <w:webHidden/>
              </w:rPr>
              <w:fldChar w:fldCharType="separate"/>
            </w:r>
            <w:r w:rsidR="00D17683">
              <w:rPr>
                <w:noProof/>
                <w:webHidden/>
              </w:rPr>
              <w:t>41</w:t>
            </w:r>
            <w:r w:rsidR="00D17683">
              <w:rPr>
                <w:noProof/>
                <w:webHidden/>
              </w:rPr>
              <w:fldChar w:fldCharType="end"/>
            </w:r>
          </w:hyperlink>
        </w:p>
        <w:p w14:paraId="0B86119F" w14:textId="30EEC50D" w:rsidR="00D17683" w:rsidRDefault="00000000">
          <w:pPr>
            <w:pStyle w:val="TOC1"/>
            <w:rPr>
              <w:rFonts w:asciiTheme="minorHAnsi" w:eastAsiaTheme="minorEastAsia" w:hAnsiTheme="minorHAnsi" w:cstheme="minorBidi"/>
              <w:noProof/>
              <w:kern w:val="2"/>
              <w14:ligatures w14:val="standardContextual"/>
            </w:rPr>
          </w:pPr>
          <w:hyperlink w:anchor="_Toc168477531" w:history="1">
            <w:r w:rsidR="00D17683" w:rsidRPr="00FF36C2">
              <w:rPr>
                <w:rStyle w:val="Hyperlink"/>
                <w:noProof/>
              </w:rPr>
              <w:t>8.</w:t>
            </w:r>
            <w:r w:rsidR="00D17683">
              <w:rPr>
                <w:rFonts w:asciiTheme="minorHAnsi" w:eastAsiaTheme="minorEastAsia" w:hAnsiTheme="minorHAnsi" w:cstheme="minorBidi"/>
                <w:noProof/>
                <w:kern w:val="2"/>
                <w14:ligatures w14:val="standardContextual"/>
              </w:rPr>
              <w:tab/>
            </w:r>
            <w:r w:rsidR="00D17683" w:rsidRPr="00FF36C2">
              <w:rPr>
                <w:rStyle w:val="Hyperlink"/>
                <w:noProof/>
              </w:rPr>
              <w:t>Placing an Employee on Leave</w:t>
            </w:r>
            <w:r w:rsidR="00D17683">
              <w:rPr>
                <w:noProof/>
                <w:webHidden/>
              </w:rPr>
              <w:tab/>
            </w:r>
            <w:r w:rsidR="00D17683">
              <w:rPr>
                <w:noProof/>
                <w:webHidden/>
              </w:rPr>
              <w:fldChar w:fldCharType="begin"/>
            </w:r>
            <w:r w:rsidR="00D17683">
              <w:rPr>
                <w:noProof/>
                <w:webHidden/>
              </w:rPr>
              <w:instrText xml:space="preserve"> PAGEREF _Toc168477531 \h </w:instrText>
            </w:r>
            <w:r w:rsidR="00D17683">
              <w:rPr>
                <w:noProof/>
                <w:webHidden/>
              </w:rPr>
            </w:r>
            <w:r w:rsidR="00D17683">
              <w:rPr>
                <w:noProof/>
                <w:webHidden/>
              </w:rPr>
              <w:fldChar w:fldCharType="separate"/>
            </w:r>
            <w:r w:rsidR="00D17683">
              <w:rPr>
                <w:noProof/>
                <w:webHidden/>
              </w:rPr>
              <w:t>42</w:t>
            </w:r>
            <w:r w:rsidR="00D17683">
              <w:rPr>
                <w:noProof/>
                <w:webHidden/>
              </w:rPr>
              <w:fldChar w:fldCharType="end"/>
            </w:r>
          </w:hyperlink>
        </w:p>
        <w:p w14:paraId="315EBFDA" w14:textId="35262C93" w:rsidR="00D17683" w:rsidRDefault="00000000">
          <w:pPr>
            <w:pStyle w:val="TOC1"/>
            <w:rPr>
              <w:rFonts w:asciiTheme="minorHAnsi" w:eastAsiaTheme="minorEastAsia" w:hAnsiTheme="minorHAnsi" w:cstheme="minorBidi"/>
              <w:noProof/>
              <w:kern w:val="2"/>
              <w14:ligatures w14:val="standardContextual"/>
            </w:rPr>
          </w:pPr>
          <w:hyperlink w:anchor="_Toc168477532" w:history="1">
            <w:r w:rsidR="00D17683" w:rsidRPr="00FF36C2">
              <w:rPr>
                <w:rStyle w:val="Hyperlink"/>
                <w:noProof/>
              </w:rPr>
              <w:t>9.</w:t>
            </w:r>
            <w:r w:rsidR="00D17683">
              <w:rPr>
                <w:rFonts w:asciiTheme="minorHAnsi" w:eastAsiaTheme="minorEastAsia" w:hAnsiTheme="minorHAnsi" w:cstheme="minorBidi"/>
                <w:noProof/>
                <w:kern w:val="2"/>
                <w14:ligatures w14:val="standardContextual"/>
              </w:rPr>
              <w:tab/>
            </w:r>
            <w:r w:rsidR="00D17683" w:rsidRPr="00FF36C2">
              <w:rPr>
                <w:rStyle w:val="Hyperlink"/>
                <w:noProof/>
              </w:rPr>
              <w:t>Counter-Complaints</w:t>
            </w:r>
            <w:r w:rsidR="00D17683">
              <w:rPr>
                <w:noProof/>
                <w:webHidden/>
              </w:rPr>
              <w:tab/>
            </w:r>
            <w:r w:rsidR="00D17683">
              <w:rPr>
                <w:noProof/>
                <w:webHidden/>
              </w:rPr>
              <w:fldChar w:fldCharType="begin"/>
            </w:r>
            <w:r w:rsidR="00D17683">
              <w:rPr>
                <w:noProof/>
                <w:webHidden/>
              </w:rPr>
              <w:instrText xml:space="preserve"> PAGEREF _Toc168477532 \h </w:instrText>
            </w:r>
            <w:r w:rsidR="00D17683">
              <w:rPr>
                <w:noProof/>
                <w:webHidden/>
              </w:rPr>
            </w:r>
            <w:r w:rsidR="00D17683">
              <w:rPr>
                <w:noProof/>
                <w:webHidden/>
              </w:rPr>
              <w:fldChar w:fldCharType="separate"/>
            </w:r>
            <w:r w:rsidR="00D17683">
              <w:rPr>
                <w:noProof/>
                <w:webHidden/>
              </w:rPr>
              <w:t>42</w:t>
            </w:r>
            <w:r w:rsidR="00D17683">
              <w:rPr>
                <w:noProof/>
                <w:webHidden/>
              </w:rPr>
              <w:fldChar w:fldCharType="end"/>
            </w:r>
          </w:hyperlink>
        </w:p>
        <w:p w14:paraId="1AF2E5CA" w14:textId="116AF3B3" w:rsidR="00D17683" w:rsidRDefault="00000000">
          <w:pPr>
            <w:pStyle w:val="TOC1"/>
            <w:rPr>
              <w:rFonts w:asciiTheme="minorHAnsi" w:eastAsiaTheme="minorEastAsia" w:hAnsiTheme="minorHAnsi" w:cstheme="minorBidi"/>
              <w:noProof/>
              <w:kern w:val="2"/>
              <w14:ligatures w14:val="standardContextual"/>
            </w:rPr>
          </w:pPr>
          <w:hyperlink w:anchor="_Toc168477533" w:history="1">
            <w:r w:rsidR="00D17683" w:rsidRPr="00FF36C2">
              <w:rPr>
                <w:rStyle w:val="Hyperlink"/>
                <w:noProof/>
              </w:rPr>
              <w:t>10.</w:t>
            </w:r>
            <w:r w:rsidR="00D17683">
              <w:rPr>
                <w:rFonts w:asciiTheme="minorHAnsi" w:eastAsiaTheme="minorEastAsia" w:hAnsiTheme="minorHAnsi" w:cstheme="minorBidi"/>
                <w:noProof/>
                <w:kern w:val="2"/>
                <w14:ligatures w14:val="standardContextual"/>
              </w:rPr>
              <w:tab/>
            </w:r>
            <w:r w:rsidR="00D17683" w:rsidRPr="00FF36C2">
              <w:rPr>
                <w:rStyle w:val="Hyperlink"/>
                <w:noProof/>
              </w:rPr>
              <w:t>Advisors in the Resolution Process</w:t>
            </w:r>
            <w:r w:rsidR="00D17683">
              <w:rPr>
                <w:noProof/>
                <w:webHidden/>
              </w:rPr>
              <w:tab/>
            </w:r>
            <w:r w:rsidR="00D17683">
              <w:rPr>
                <w:noProof/>
                <w:webHidden/>
              </w:rPr>
              <w:fldChar w:fldCharType="begin"/>
            </w:r>
            <w:r w:rsidR="00D17683">
              <w:rPr>
                <w:noProof/>
                <w:webHidden/>
              </w:rPr>
              <w:instrText xml:space="preserve"> PAGEREF _Toc168477533 \h </w:instrText>
            </w:r>
            <w:r w:rsidR="00D17683">
              <w:rPr>
                <w:noProof/>
                <w:webHidden/>
              </w:rPr>
            </w:r>
            <w:r w:rsidR="00D17683">
              <w:rPr>
                <w:noProof/>
                <w:webHidden/>
              </w:rPr>
              <w:fldChar w:fldCharType="separate"/>
            </w:r>
            <w:r w:rsidR="00D17683">
              <w:rPr>
                <w:noProof/>
                <w:webHidden/>
              </w:rPr>
              <w:t>42</w:t>
            </w:r>
            <w:r w:rsidR="00D17683">
              <w:rPr>
                <w:noProof/>
                <w:webHidden/>
              </w:rPr>
              <w:fldChar w:fldCharType="end"/>
            </w:r>
          </w:hyperlink>
        </w:p>
        <w:p w14:paraId="736636D1" w14:textId="41ACBEE6" w:rsidR="00D17683" w:rsidRDefault="00000000">
          <w:pPr>
            <w:pStyle w:val="TOC2"/>
            <w:rPr>
              <w:rFonts w:asciiTheme="minorHAnsi" w:eastAsiaTheme="minorEastAsia" w:hAnsiTheme="minorHAnsi" w:cstheme="minorBidi"/>
              <w:noProof/>
              <w:kern w:val="2"/>
              <w14:ligatures w14:val="standardContextual"/>
            </w:rPr>
          </w:pPr>
          <w:hyperlink w:anchor="_Toc168477534"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Who Can Serve as an Advisor?</w:t>
            </w:r>
            <w:r w:rsidR="00D17683">
              <w:rPr>
                <w:noProof/>
                <w:webHidden/>
              </w:rPr>
              <w:tab/>
            </w:r>
            <w:r w:rsidR="00D17683">
              <w:rPr>
                <w:noProof/>
                <w:webHidden/>
              </w:rPr>
              <w:fldChar w:fldCharType="begin"/>
            </w:r>
            <w:r w:rsidR="00D17683">
              <w:rPr>
                <w:noProof/>
                <w:webHidden/>
              </w:rPr>
              <w:instrText xml:space="preserve"> PAGEREF _Toc168477534 \h </w:instrText>
            </w:r>
            <w:r w:rsidR="00D17683">
              <w:rPr>
                <w:noProof/>
                <w:webHidden/>
              </w:rPr>
            </w:r>
            <w:r w:rsidR="00D17683">
              <w:rPr>
                <w:noProof/>
                <w:webHidden/>
              </w:rPr>
              <w:fldChar w:fldCharType="separate"/>
            </w:r>
            <w:r w:rsidR="00D17683">
              <w:rPr>
                <w:noProof/>
                <w:webHidden/>
              </w:rPr>
              <w:t>42</w:t>
            </w:r>
            <w:r w:rsidR="00D17683">
              <w:rPr>
                <w:noProof/>
                <w:webHidden/>
              </w:rPr>
              <w:fldChar w:fldCharType="end"/>
            </w:r>
          </w:hyperlink>
        </w:p>
        <w:p w14:paraId="3351F839" w14:textId="2D6EDCCC" w:rsidR="00D17683" w:rsidRDefault="00000000">
          <w:pPr>
            <w:pStyle w:val="TOC2"/>
            <w:rPr>
              <w:rFonts w:asciiTheme="minorHAnsi" w:eastAsiaTheme="minorEastAsia" w:hAnsiTheme="minorHAnsi" w:cstheme="minorBidi"/>
              <w:noProof/>
              <w:kern w:val="2"/>
              <w14:ligatures w14:val="standardContextual"/>
            </w:rPr>
          </w:pPr>
          <w:hyperlink w:anchor="_Toc168477535"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Advisor’s Role in the Resolution Process</w:t>
            </w:r>
            <w:r w:rsidR="00D17683">
              <w:rPr>
                <w:noProof/>
                <w:webHidden/>
              </w:rPr>
              <w:tab/>
            </w:r>
            <w:r w:rsidR="00D17683">
              <w:rPr>
                <w:noProof/>
                <w:webHidden/>
              </w:rPr>
              <w:fldChar w:fldCharType="begin"/>
            </w:r>
            <w:r w:rsidR="00D17683">
              <w:rPr>
                <w:noProof/>
                <w:webHidden/>
              </w:rPr>
              <w:instrText xml:space="preserve"> PAGEREF _Toc168477535 \h </w:instrText>
            </w:r>
            <w:r w:rsidR="00D17683">
              <w:rPr>
                <w:noProof/>
                <w:webHidden/>
              </w:rPr>
            </w:r>
            <w:r w:rsidR="00D17683">
              <w:rPr>
                <w:noProof/>
                <w:webHidden/>
              </w:rPr>
              <w:fldChar w:fldCharType="separate"/>
            </w:r>
            <w:r w:rsidR="00D17683">
              <w:rPr>
                <w:noProof/>
                <w:webHidden/>
              </w:rPr>
              <w:t>43</w:t>
            </w:r>
            <w:r w:rsidR="00D17683">
              <w:rPr>
                <w:noProof/>
                <w:webHidden/>
              </w:rPr>
              <w:fldChar w:fldCharType="end"/>
            </w:r>
          </w:hyperlink>
        </w:p>
        <w:p w14:paraId="6AAC65C4" w14:textId="3D1D4FBB" w:rsidR="00D17683" w:rsidRDefault="00000000">
          <w:pPr>
            <w:pStyle w:val="TOC2"/>
            <w:rPr>
              <w:rFonts w:asciiTheme="minorHAnsi" w:eastAsiaTheme="minorEastAsia" w:hAnsiTheme="minorHAnsi" w:cstheme="minorBidi"/>
              <w:noProof/>
              <w:kern w:val="2"/>
              <w14:ligatures w14:val="standardContextual"/>
            </w:rPr>
          </w:pPr>
          <w:hyperlink w:anchor="_Toc168477536"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Records Shared with Advisors</w:t>
            </w:r>
            <w:r w:rsidR="00D17683">
              <w:rPr>
                <w:noProof/>
                <w:webHidden/>
              </w:rPr>
              <w:tab/>
            </w:r>
            <w:r w:rsidR="00D17683">
              <w:rPr>
                <w:noProof/>
                <w:webHidden/>
              </w:rPr>
              <w:fldChar w:fldCharType="begin"/>
            </w:r>
            <w:r w:rsidR="00D17683">
              <w:rPr>
                <w:noProof/>
                <w:webHidden/>
              </w:rPr>
              <w:instrText xml:space="preserve"> PAGEREF _Toc168477536 \h </w:instrText>
            </w:r>
            <w:r w:rsidR="00D17683">
              <w:rPr>
                <w:noProof/>
                <w:webHidden/>
              </w:rPr>
            </w:r>
            <w:r w:rsidR="00D17683">
              <w:rPr>
                <w:noProof/>
                <w:webHidden/>
              </w:rPr>
              <w:fldChar w:fldCharType="separate"/>
            </w:r>
            <w:r w:rsidR="00D17683">
              <w:rPr>
                <w:noProof/>
                <w:webHidden/>
              </w:rPr>
              <w:t>44</w:t>
            </w:r>
            <w:r w:rsidR="00D17683">
              <w:rPr>
                <w:noProof/>
                <w:webHidden/>
              </w:rPr>
              <w:fldChar w:fldCharType="end"/>
            </w:r>
          </w:hyperlink>
        </w:p>
        <w:p w14:paraId="72C8FFD8" w14:textId="4F9781AC" w:rsidR="00D17683" w:rsidRDefault="00000000">
          <w:pPr>
            <w:pStyle w:val="TOC2"/>
            <w:rPr>
              <w:rFonts w:asciiTheme="minorHAnsi" w:eastAsiaTheme="minorEastAsia" w:hAnsiTheme="minorHAnsi" w:cstheme="minorBidi"/>
              <w:noProof/>
              <w:kern w:val="2"/>
              <w14:ligatures w14:val="standardContextual"/>
            </w:rPr>
          </w:pPr>
          <w:hyperlink w:anchor="_Toc168477537" w:history="1">
            <w:r w:rsidR="00D17683" w:rsidRPr="00FF36C2">
              <w:rPr>
                <w:rStyle w:val="Hyperlink"/>
                <w:noProof/>
              </w:rPr>
              <w:t>D.</w:t>
            </w:r>
            <w:r w:rsidR="00D17683">
              <w:rPr>
                <w:rFonts w:asciiTheme="minorHAnsi" w:eastAsiaTheme="minorEastAsia" w:hAnsiTheme="minorHAnsi" w:cstheme="minorBidi"/>
                <w:noProof/>
                <w:kern w:val="2"/>
                <w14:ligatures w14:val="standardContextual"/>
              </w:rPr>
              <w:tab/>
            </w:r>
            <w:r w:rsidR="00D17683" w:rsidRPr="00FF36C2">
              <w:rPr>
                <w:rStyle w:val="Hyperlink"/>
                <w:noProof/>
              </w:rPr>
              <w:t>Advisor Expectations</w:t>
            </w:r>
            <w:r w:rsidR="00D17683">
              <w:rPr>
                <w:noProof/>
                <w:webHidden/>
              </w:rPr>
              <w:tab/>
            </w:r>
            <w:r w:rsidR="00D17683">
              <w:rPr>
                <w:noProof/>
                <w:webHidden/>
              </w:rPr>
              <w:fldChar w:fldCharType="begin"/>
            </w:r>
            <w:r w:rsidR="00D17683">
              <w:rPr>
                <w:noProof/>
                <w:webHidden/>
              </w:rPr>
              <w:instrText xml:space="preserve"> PAGEREF _Toc168477537 \h </w:instrText>
            </w:r>
            <w:r w:rsidR="00D17683">
              <w:rPr>
                <w:noProof/>
                <w:webHidden/>
              </w:rPr>
            </w:r>
            <w:r w:rsidR="00D17683">
              <w:rPr>
                <w:noProof/>
                <w:webHidden/>
              </w:rPr>
              <w:fldChar w:fldCharType="separate"/>
            </w:r>
            <w:r w:rsidR="00D17683">
              <w:rPr>
                <w:noProof/>
                <w:webHidden/>
              </w:rPr>
              <w:t>44</w:t>
            </w:r>
            <w:r w:rsidR="00D17683">
              <w:rPr>
                <w:noProof/>
                <w:webHidden/>
              </w:rPr>
              <w:fldChar w:fldCharType="end"/>
            </w:r>
          </w:hyperlink>
        </w:p>
        <w:p w14:paraId="240BF409" w14:textId="376D5BBA" w:rsidR="00D17683" w:rsidRDefault="00000000">
          <w:pPr>
            <w:pStyle w:val="TOC2"/>
            <w:rPr>
              <w:rFonts w:asciiTheme="minorHAnsi" w:eastAsiaTheme="minorEastAsia" w:hAnsiTheme="minorHAnsi" w:cstheme="minorBidi"/>
              <w:noProof/>
              <w:kern w:val="2"/>
              <w14:ligatures w14:val="standardContextual"/>
            </w:rPr>
          </w:pPr>
          <w:hyperlink w:anchor="_Toc168477538" w:history="1">
            <w:r w:rsidR="00D17683" w:rsidRPr="00FF36C2">
              <w:rPr>
                <w:rStyle w:val="Hyperlink"/>
                <w:noProof/>
              </w:rPr>
              <w:t>E.</w:t>
            </w:r>
            <w:r w:rsidR="00D17683">
              <w:rPr>
                <w:rFonts w:asciiTheme="minorHAnsi" w:eastAsiaTheme="minorEastAsia" w:hAnsiTheme="minorHAnsi" w:cstheme="minorBidi"/>
                <w:noProof/>
                <w:kern w:val="2"/>
                <w14:ligatures w14:val="standardContextual"/>
              </w:rPr>
              <w:tab/>
            </w:r>
            <w:r w:rsidR="00D17683" w:rsidRPr="00FF36C2">
              <w:rPr>
                <w:rStyle w:val="Hyperlink"/>
                <w:noProof/>
              </w:rPr>
              <w:t>Advisor Policy Violations</w:t>
            </w:r>
            <w:r w:rsidR="00D17683">
              <w:rPr>
                <w:noProof/>
                <w:webHidden/>
              </w:rPr>
              <w:tab/>
            </w:r>
            <w:r w:rsidR="00D17683">
              <w:rPr>
                <w:noProof/>
                <w:webHidden/>
              </w:rPr>
              <w:fldChar w:fldCharType="begin"/>
            </w:r>
            <w:r w:rsidR="00D17683">
              <w:rPr>
                <w:noProof/>
                <w:webHidden/>
              </w:rPr>
              <w:instrText xml:space="preserve"> PAGEREF _Toc168477538 \h </w:instrText>
            </w:r>
            <w:r w:rsidR="00D17683">
              <w:rPr>
                <w:noProof/>
                <w:webHidden/>
              </w:rPr>
            </w:r>
            <w:r w:rsidR="00D17683">
              <w:rPr>
                <w:noProof/>
                <w:webHidden/>
              </w:rPr>
              <w:fldChar w:fldCharType="separate"/>
            </w:r>
            <w:r w:rsidR="00D17683">
              <w:rPr>
                <w:noProof/>
                <w:webHidden/>
              </w:rPr>
              <w:t>44</w:t>
            </w:r>
            <w:r w:rsidR="00D17683">
              <w:rPr>
                <w:noProof/>
                <w:webHidden/>
              </w:rPr>
              <w:fldChar w:fldCharType="end"/>
            </w:r>
          </w:hyperlink>
        </w:p>
        <w:p w14:paraId="799DCCC4" w14:textId="4AC79C1F" w:rsidR="00D17683" w:rsidRDefault="00000000">
          <w:pPr>
            <w:pStyle w:val="TOC1"/>
            <w:rPr>
              <w:rFonts w:asciiTheme="minorHAnsi" w:eastAsiaTheme="minorEastAsia" w:hAnsiTheme="minorHAnsi" w:cstheme="minorBidi"/>
              <w:noProof/>
              <w:kern w:val="2"/>
              <w14:ligatures w14:val="standardContextual"/>
            </w:rPr>
          </w:pPr>
          <w:hyperlink w:anchor="_Toc168477539" w:history="1">
            <w:r w:rsidR="00D17683" w:rsidRPr="00FF36C2">
              <w:rPr>
                <w:rStyle w:val="Hyperlink"/>
                <w:noProof/>
              </w:rPr>
              <w:t>11.</w:t>
            </w:r>
            <w:r w:rsidR="00D17683">
              <w:rPr>
                <w:rFonts w:asciiTheme="minorHAnsi" w:eastAsiaTheme="minorEastAsia" w:hAnsiTheme="minorHAnsi" w:cstheme="minorBidi"/>
                <w:noProof/>
                <w:kern w:val="2"/>
                <w14:ligatures w14:val="standardContextual"/>
              </w:rPr>
              <w:tab/>
            </w:r>
            <w:r w:rsidR="00D17683" w:rsidRPr="00FF36C2">
              <w:rPr>
                <w:rStyle w:val="Hyperlink"/>
                <w:noProof/>
              </w:rPr>
              <w:t>Resolution Option Overview</w:t>
            </w:r>
            <w:r w:rsidR="00D17683">
              <w:rPr>
                <w:noProof/>
                <w:webHidden/>
              </w:rPr>
              <w:tab/>
            </w:r>
            <w:r w:rsidR="00D17683">
              <w:rPr>
                <w:noProof/>
                <w:webHidden/>
              </w:rPr>
              <w:fldChar w:fldCharType="begin"/>
            </w:r>
            <w:r w:rsidR="00D17683">
              <w:rPr>
                <w:noProof/>
                <w:webHidden/>
              </w:rPr>
              <w:instrText xml:space="preserve"> PAGEREF _Toc168477539 \h </w:instrText>
            </w:r>
            <w:r w:rsidR="00D17683">
              <w:rPr>
                <w:noProof/>
                <w:webHidden/>
              </w:rPr>
            </w:r>
            <w:r w:rsidR="00D17683">
              <w:rPr>
                <w:noProof/>
                <w:webHidden/>
              </w:rPr>
              <w:fldChar w:fldCharType="separate"/>
            </w:r>
            <w:r w:rsidR="00D17683">
              <w:rPr>
                <w:noProof/>
                <w:webHidden/>
              </w:rPr>
              <w:t>45</w:t>
            </w:r>
            <w:r w:rsidR="00D17683">
              <w:rPr>
                <w:noProof/>
                <w:webHidden/>
              </w:rPr>
              <w:fldChar w:fldCharType="end"/>
            </w:r>
          </w:hyperlink>
        </w:p>
        <w:p w14:paraId="35C570B1" w14:textId="7AF3A7BD" w:rsidR="00D17683" w:rsidRDefault="00000000">
          <w:pPr>
            <w:pStyle w:val="TOC2"/>
            <w:rPr>
              <w:rFonts w:asciiTheme="minorHAnsi" w:eastAsiaTheme="minorEastAsia" w:hAnsiTheme="minorHAnsi" w:cstheme="minorBidi"/>
              <w:noProof/>
              <w:kern w:val="2"/>
              <w14:ligatures w14:val="standardContextual"/>
            </w:rPr>
          </w:pPr>
          <w:hyperlink w:anchor="_Toc168477540"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Informal Resolution</w:t>
            </w:r>
            <w:r w:rsidR="00D17683">
              <w:rPr>
                <w:noProof/>
                <w:webHidden/>
              </w:rPr>
              <w:tab/>
            </w:r>
            <w:r w:rsidR="00D17683">
              <w:rPr>
                <w:noProof/>
                <w:webHidden/>
              </w:rPr>
              <w:fldChar w:fldCharType="begin"/>
            </w:r>
            <w:r w:rsidR="00D17683">
              <w:rPr>
                <w:noProof/>
                <w:webHidden/>
              </w:rPr>
              <w:instrText xml:space="preserve"> PAGEREF _Toc168477540 \h </w:instrText>
            </w:r>
            <w:r w:rsidR="00D17683">
              <w:rPr>
                <w:noProof/>
                <w:webHidden/>
              </w:rPr>
            </w:r>
            <w:r w:rsidR="00D17683">
              <w:rPr>
                <w:noProof/>
                <w:webHidden/>
              </w:rPr>
              <w:fldChar w:fldCharType="separate"/>
            </w:r>
            <w:r w:rsidR="00D17683">
              <w:rPr>
                <w:noProof/>
                <w:webHidden/>
              </w:rPr>
              <w:t>45</w:t>
            </w:r>
            <w:r w:rsidR="00D17683">
              <w:rPr>
                <w:noProof/>
                <w:webHidden/>
              </w:rPr>
              <w:fldChar w:fldCharType="end"/>
            </w:r>
          </w:hyperlink>
        </w:p>
        <w:p w14:paraId="728108F2" w14:textId="3941BAFB" w:rsidR="00D17683" w:rsidRDefault="00000000">
          <w:pPr>
            <w:pStyle w:val="TOC3"/>
            <w:tabs>
              <w:tab w:val="left" w:pos="1440"/>
              <w:tab w:val="right" w:leader="dot" w:pos="9350"/>
            </w:tabs>
            <w:rPr>
              <w:noProof/>
              <w:kern w:val="2"/>
              <w:szCs w:val="24"/>
              <w14:ligatures w14:val="standardContextual"/>
            </w:rPr>
          </w:pPr>
          <w:hyperlink w:anchor="_Toc168477541" w:history="1">
            <w:r w:rsidR="00D17683" w:rsidRPr="00FF36C2">
              <w:rPr>
                <w:rStyle w:val="Hyperlink"/>
                <w:noProof/>
              </w:rPr>
              <w:t>(1)</w:t>
            </w:r>
            <w:r w:rsidR="00D17683">
              <w:rPr>
                <w:noProof/>
                <w:kern w:val="2"/>
                <w:szCs w:val="24"/>
                <w14:ligatures w14:val="standardContextual"/>
              </w:rPr>
              <w:tab/>
            </w:r>
            <w:r w:rsidR="00D17683" w:rsidRPr="00FF36C2">
              <w:rPr>
                <w:rStyle w:val="Hyperlink"/>
                <w:noProof/>
              </w:rPr>
              <w:t>Supportive Resolution</w:t>
            </w:r>
            <w:r w:rsidR="00D17683">
              <w:rPr>
                <w:noProof/>
                <w:webHidden/>
              </w:rPr>
              <w:tab/>
            </w:r>
            <w:r w:rsidR="00D17683">
              <w:rPr>
                <w:noProof/>
                <w:webHidden/>
              </w:rPr>
              <w:fldChar w:fldCharType="begin"/>
            </w:r>
            <w:r w:rsidR="00D17683">
              <w:rPr>
                <w:noProof/>
                <w:webHidden/>
              </w:rPr>
              <w:instrText xml:space="preserve"> PAGEREF _Toc168477541 \h </w:instrText>
            </w:r>
            <w:r w:rsidR="00D17683">
              <w:rPr>
                <w:noProof/>
                <w:webHidden/>
              </w:rPr>
            </w:r>
            <w:r w:rsidR="00D17683">
              <w:rPr>
                <w:noProof/>
                <w:webHidden/>
              </w:rPr>
              <w:fldChar w:fldCharType="separate"/>
            </w:r>
            <w:r w:rsidR="00D17683">
              <w:rPr>
                <w:noProof/>
                <w:webHidden/>
              </w:rPr>
              <w:t>46</w:t>
            </w:r>
            <w:r w:rsidR="00D17683">
              <w:rPr>
                <w:noProof/>
                <w:webHidden/>
              </w:rPr>
              <w:fldChar w:fldCharType="end"/>
            </w:r>
          </w:hyperlink>
        </w:p>
        <w:p w14:paraId="5B41132A" w14:textId="3969E340" w:rsidR="00D17683" w:rsidRDefault="00000000">
          <w:pPr>
            <w:pStyle w:val="TOC3"/>
            <w:tabs>
              <w:tab w:val="left" w:pos="1440"/>
              <w:tab w:val="right" w:leader="dot" w:pos="9350"/>
            </w:tabs>
            <w:rPr>
              <w:noProof/>
              <w:kern w:val="2"/>
              <w:szCs w:val="24"/>
              <w14:ligatures w14:val="standardContextual"/>
            </w:rPr>
          </w:pPr>
          <w:hyperlink w:anchor="_Toc168477542" w:history="1">
            <w:r w:rsidR="00D17683" w:rsidRPr="00FF36C2">
              <w:rPr>
                <w:rStyle w:val="Hyperlink"/>
                <w:noProof/>
              </w:rPr>
              <w:t>(2)</w:t>
            </w:r>
            <w:r w:rsidR="00D17683">
              <w:rPr>
                <w:noProof/>
                <w:kern w:val="2"/>
                <w:szCs w:val="24"/>
                <w14:ligatures w14:val="standardContextual"/>
              </w:rPr>
              <w:tab/>
            </w:r>
            <w:r w:rsidR="00D17683" w:rsidRPr="00FF36C2">
              <w:rPr>
                <w:rStyle w:val="Hyperlink"/>
                <w:noProof/>
              </w:rPr>
              <w:t>Educational Conversation</w:t>
            </w:r>
            <w:r w:rsidR="00D17683">
              <w:rPr>
                <w:noProof/>
                <w:webHidden/>
              </w:rPr>
              <w:tab/>
            </w:r>
            <w:r w:rsidR="00D17683">
              <w:rPr>
                <w:noProof/>
                <w:webHidden/>
              </w:rPr>
              <w:fldChar w:fldCharType="begin"/>
            </w:r>
            <w:r w:rsidR="00D17683">
              <w:rPr>
                <w:noProof/>
                <w:webHidden/>
              </w:rPr>
              <w:instrText xml:space="preserve"> PAGEREF _Toc168477542 \h </w:instrText>
            </w:r>
            <w:r w:rsidR="00D17683">
              <w:rPr>
                <w:noProof/>
                <w:webHidden/>
              </w:rPr>
            </w:r>
            <w:r w:rsidR="00D17683">
              <w:rPr>
                <w:noProof/>
                <w:webHidden/>
              </w:rPr>
              <w:fldChar w:fldCharType="separate"/>
            </w:r>
            <w:r w:rsidR="00D17683">
              <w:rPr>
                <w:noProof/>
                <w:webHidden/>
              </w:rPr>
              <w:t>47</w:t>
            </w:r>
            <w:r w:rsidR="00D17683">
              <w:rPr>
                <w:noProof/>
                <w:webHidden/>
              </w:rPr>
              <w:fldChar w:fldCharType="end"/>
            </w:r>
          </w:hyperlink>
        </w:p>
        <w:p w14:paraId="6A8917C9" w14:textId="339C523E" w:rsidR="00D17683" w:rsidRDefault="00000000">
          <w:pPr>
            <w:pStyle w:val="TOC3"/>
            <w:tabs>
              <w:tab w:val="left" w:pos="1440"/>
              <w:tab w:val="right" w:leader="dot" w:pos="9350"/>
            </w:tabs>
            <w:rPr>
              <w:noProof/>
              <w:kern w:val="2"/>
              <w:szCs w:val="24"/>
              <w14:ligatures w14:val="standardContextual"/>
            </w:rPr>
          </w:pPr>
          <w:hyperlink w:anchor="_Toc168477543" w:history="1">
            <w:r w:rsidR="00D17683" w:rsidRPr="00FF36C2">
              <w:rPr>
                <w:rStyle w:val="Hyperlink"/>
                <w:noProof/>
              </w:rPr>
              <w:t>(3)</w:t>
            </w:r>
            <w:r w:rsidR="00D17683">
              <w:rPr>
                <w:noProof/>
                <w:kern w:val="2"/>
                <w:szCs w:val="24"/>
                <w14:ligatures w14:val="standardContextual"/>
              </w:rPr>
              <w:tab/>
            </w:r>
            <w:r w:rsidR="00D17683" w:rsidRPr="00FF36C2">
              <w:rPr>
                <w:rStyle w:val="Hyperlink"/>
                <w:noProof/>
              </w:rPr>
              <w:t>Accepted Responsibility</w:t>
            </w:r>
            <w:r w:rsidR="00D17683">
              <w:rPr>
                <w:noProof/>
                <w:webHidden/>
              </w:rPr>
              <w:tab/>
            </w:r>
            <w:r w:rsidR="00D17683">
              <w:rPr>
                <w:noProof/>
                <w:webHidden/>
              </w:rPr>
              <w:fldChar w:fldCharType="begin"/>
            </w:r>
            <w:r w:rsidR="00D17683">
              <w:rPr>
                <w:noProof/>
                <w:webHidden/>
              </w:rPr>
              <w:instrText xml:space="preserve"> PAGEREF _Toc168477543 \h </w:instrText>
            </w:r>
            <w:r w:rsidR="00D17683">
              <w:rPr>
                <w:noProof/>
                <w:webHidden/>
              </w:rPr>
            </w:r>
            <w:r w:rsidR="00D17683">
              <w:rPr>
                <w:noProof/>
                <w:webHidden/>
              </w:rPr>
              <w:fldChar w:fldCharType="separate"/>
            </w:r>
            <w:r w:rsidR="00D17683">
              <w:rPr>
                <w:noProof/>
                <w:webHidden/>
              </w:rPr>
              <w:t>47</w:t>
            </w:r>
            <w:r w:rsidR="00D17683">
              <w:rPr>
                <w:noProof/>
                <w:webHidden/>
              </w:rPr>
              <w:fldChar w:fldCharType="end"/>
            </w:r>
          </w:hyperlink>
        </w:p>
        <w:p w14:paraId="28625895" w14:textId="353CD969" w:rsidR="00D17683" w:rsidRDefault="00000000">
          <w:pPr>
            <w:pStyle w:val="TOC3"/>
            <w:tabs>
              <w:tab w:val="left" w:pos="1440"/>
              <w:tab w:val="right" w:leader="dot" w:pos="9350"/>
            </w:tabs>
            <w:rPr>
              <w:noProof/>
              <w:kern w:val="2"/>
              <w:szCs w:val="24"/>
              <w14:ligatures w14:val="standardContextual"/>
            </w:rPr>
          </w:pPr>
          <w:hyperlink w:anchor="_Toc168477544" w:history="1">
            <w:r w:rsidR="00D17683" w:rsidRPr="00FF36C2">
              <w:rPr>
                <w:rStyle w:val="Hyperlink"/>
                <w:noProof/>
              </w:rPr>
              <w:t>(4)</w:t>
            </w:r>
            <w:r w:rsidR="00D17683">
              <w:rPr>
                <w:noProof/>
                <w:kern w:val="2"/>
                <w:szCs w:val="24"/>
                <w14:ligatures w14:val="standardContextual"/>
              </w:rPr>
              <w:tab/>
            </w:r>
            <w:r w:rsidR="00D17683" w:rsidRPr="00FF36C2">
              <w:rPr>
                <w:rStyle w:val="Hyperlink"/>
                <w:noProof/>
              </w:rPr>
              <w:t>Alternative Resolution</w:t>
            </w:r>
            <w:r w:rsidR="00D17683">
              <w:rPr>
                <w:noProof/>
                <w:webHidden/>
              </w:rPr>
              <w:tab/>
            </w:r>
            <w:r w:rsidR="00D17683">
              <w:rPr>
                <w:noProof/>
                <w:webHidden/>
              </w:rPr>
              <w:fldChar w:fldCharType="begin"/>
            </w:r>
            <w:r w:rsidR="00D17683">
              <w:rPr>
                <w:noProof/>
                <w:webHidden/>
              </w:rPr>
              <w:instrText xml:space="preserve"> PAGEREF _Toc168477544 \h </w:instrText>
            </w:r>
            <w:r w:rsidR="00D17683">
              <w:rPr>
                <w:noProof/>
                <w:webHidden/>
              </w:rPr>
            </w:r>
            <w:r w:rsidR="00D17683">
              <w:rPr>
                <w:noProof/>
                <w:webHidden/>
              </w:rPr>
              <w:fldChar w:fldCharType="separate"/>
            </w:r>
            <w:r w:rsidR="00D17683">
              <w:rPr>
                <w:noProof/>
                <w:webHidden/>
              </w:rPr>
              <w:t>48</w:t>
            </w:r>
            <w:r w:rsidR="00D17683">
              <w:rPr>
                <w:noProof/>
                <w:webHidden/>
              </w:rPr>
              <w:fldChar w:fldCharType="end"/>
            </w:r>
          </w:hyperlink>
        </w:p>
        <w:p w14:paraId="5FED0872" w14:textId="2D79EA41" w:rsidR="00D17683" w:rsidRDefault="00000000">
          <w:pPr>
            <w:pStyle w:val="TOC2"/>
            <w:rPr>
              <w:rFonts w:asciiTheme="minorHAnsi" w:eastAsiaTheme="minorEastAsia" w:hAnsiTheme="minorHAnsi" w:cstheme="minorBidi"/>
              <w:noProof/>
              <w:kern w:val="2"/>
              <w14:ligatures w14:val="standardContextual"/>
            </w:rPr>
          </w:pPr>
          <w:hyperlink w:anchor="_Toc168477545"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 xml:space="preserve">Administrative </w:t>
            </w:r>
            <w:r w:rsidR="00D17683" w:rsidRPr="00FF36C2">
              <w:rPr>
                <w:rStyle w:val="Hyperlink"/>
                <w:noProof/>
                <w:highlight w:val="lightGray"/>
              </w:rPr>
              <w:t>[Hearing]</w:t>
            </w:r>
            <w:r w:rsidR="00D17683" w:rsidRPr="00FF36C2">
              <w:rPr>
                <w:rStyle w:val="Hyperlink"/>
                <w:noProof/>
              </w:rPr>
              <w:t xml:space="preserve"> Resolution Process (see Section 22 below)</w:t>
            </w:r>
            <w:r w:rsidR="00D17683">
              <w:rPr>
                <w:noProof/>
                <w:webHidden/>
              </w:rPr>
              <w:tab/>
            </w:r>
            <w:r w:rsidR="00D17683">
              <w:rPr>
                <w:noProof/>
                <w:webHidden/>
              </w:rPr>
              <w:fldChar w:fldCharType="begin"/>
            </w:r>
            <w:r w:rsidR="00D17683">
              <w:rPr>
                <w:noProof/>
                <w:webHidden/>
              </w:rPr>
              <w:instrText xml:space="preserve"> PAGEREF _Toc168477545 \h </w:instrText>
            </w:r>
            <w:r w:rsidR="00D17683">
              <w:rPr>
                <w:noProof/>
                <w:webHidden/>
              </w:rPr>
            </w:r>
            <w:r w:rsidR="00D17683">
              <w:rPr>
                <w:noProof/>
                <w:webHidden/>
              </w:rPr>
              <w:fldChar w:fldCharType="separate"/>
            </w:r>
            <w:r w:rsidR="00D17683">
              <w:rPr>
                <w:noProof/>
                <w:webHidden/>
              </w:rPr>
              <w:t>49</w:t>
            </w:r>
            <w:r w:rsidR="00D17683">
              <w:rPr>
                <w:noProof/>
                <w:webHidden/>
              </w:rPr>
              <w:fldChar w:fldCharType="end"/>
            </w:r>
          </w:hyperlink>
        </w:p>
        <w:p w14:paraId="2369DFB9" w14:textId="66A67F8F" w:rsidR="00D17683" w:rsidRDefault="00000000">
          <w:pPr>
            <w:pStyle w:val="TOC1"/>
            <w:rPr>
              <w:rFonts w:asciiTheme="minorHAnsi" w:eastAsiaTheme="minorEastAsia" w:hAnsiTheme="minorHAnsi" w:cstheme="minorBidi"/>
              <w:noProof/>
              <w:kern w:val="2"/>
              <w14:ligatures w14:val="standardContextual"/>
            </w:rPr>
          </w:pPr>
          <w:hyperlink w:anchor="_Toc168477546" w:history="1">
            <w:r w:rsidR="00D17683" w:rsidRPr="00FF36C2">
              <w:rPr>
                <w:rStyle w:val="Hyperlink"/>
                <w:noProof/>
              </w:rPr>
              <w:t>12.</w:t>
            </w:r>
            <w:r w:rsidR="00D17683">
              <w:rPr>
                <w:rFonts w:asciiTheme="minorHAnsi" w:eastAsiaTheme="minorEastAsia" w:hAnsiTheme="minorHAnsi" w:cstheme="minorBidi"/>
                <w:noProof/>
                <w:kern w:val="2"/>
                <w14:ligatures w14:val="standardContextual"/>
              </w:rPr>
              <w:tab/>
            </w:r>
            <w:r w:rsidR="00D17683" w:rsidRPr="00FF36C2">
              <w:rPr>
                <w:rStyle w:val="Hyperlink"/>
                <w:noProof/>
              </w:rPr>
              <w:t>Resolution Process Pool</w:t>
            </w:r>
            <w:r w:rsidR="00D17683">
              <w:rPr>
                <w:noProof/>
                <w:webHidden/>
              </w:rPr>
              <w:tab/>
            </w:r>
            <w:r w:rsidR="00D17683">
              <w:rPr>
                <w:noProof/>
                <w:webHidden/>
              </w:rPr>
              <w:fldChar w:fldCharType="begin"/>
            </w:r>
            <w:r w:rsidR="00D17683">
              <w:rPr>
                <w:noProof/>
                <w:webHidden/>
              </w:rPr>
              <w:instrText xml:space="preserve"> PAGEREF _Toc168477546 \h </w:instrText>
            </w:r>
            <w:r w:rsidR="00D17683">
              <w:rPr>
                <w:noProof/>
                <w:webHidden/>
              </w:rPr>
            </w:r>
            <w:r w:rsidR="00D17683">
              <w:rPr>
                <w:noProof/>
                <w:webHidden/>
              </w:rPr>
              <w:fldChar w:fldCharType="separate"/>
            </w:r>
            <w:r w:rsidR="00D17683">
              <w:rPr>
                <w:noProof/>
                <w:webHidden/>
              </w:rPr>
              <w:t>49</w:t>
            </w:r>
            <w:r w:rsidR="00D17683">
              <w:rPr>
                <w:noProof/>
                <w:webHidden/>
              </w:rPr>
              <w:fldChar w:fldCharType="end"/>
            </w:r>
          </w:hyperlink>
        </w:p>
        <w:p w14:paraId="2FB87BAC" w14:textId="42C14F7F" w:rsidR="00D17683" w:rsidRDefault="00000000">
          <w:pPr>
            <w:pStyle w:val="TOC2"/>
            <w:rPr>
              <w:rFonts w:asciiTheme="minorHAnsi" w:eastAsiaTheme="minorEastAsia" w:hAnsiTheme="minorHAnsi" w:cstheme="minorBidi"/>
              <w:noProof/>
              <w:kern w:val="2"/>
              <w14:ligatures w14:val="standardContextual"/>
            </w:rPr>
          </w:pPr>
          <w:hyperlink w:anchor="_Toc168477547"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Pool Member Roles</w:t>
            </w:r>
            <w:r w:rsidR="00D17683">
              <w:rPr>
                <w:noProof/>
                <w:webHidden/>
              </w:rPr>
              <w:tab/>
            </w:r>
            <w:r w:rsidR="00D17683">
              <w:rPr>
                <w:noProof/>
                <w:webHidden/>
              </w:rPr>
              <w:fldChar w:fldCharType="begin"/>
            </w:r>
            <w:r w:rsidR="00D17683">
              <w:rPr>
                <w:noProof/>
                <w:webHidden/>
              </w:rPr>
              <w:instrText xml:space="preserve"> PAGEREF _Toc168477547 \h </w:instrText>
            </w:r>
            <w:r w:rsidR="00D17683">
              <w:rPr>
                <w:noProof/>
                <w:webHidden/>
              </w:rPr>
            </w:r>
            <w:r w:rsidR="00D17683">
              <w:rPr>
                <w:noProof/>
                <w:webHidden/>
              </w:rPr>
              <w:fldChar w:fldCharType="separate"/>
            </w:r>
            <w:r w:rsidR="00D17683">
              <w:rPr>
                <w:noProof/>
                <w:webHidden/>
              </w:rPr>
              <w:t>49</w:t>
            </w:r>
            <w:r w:rsidR="00D17683">
              <w:rPr>
                <w:noProof/>
                <w:webHidden/>
              </w:rPr>
              <w:fldChar w:fldCharType="end"/>
            </w:r>
          </w:hyperlink>
        </w:p>
        <w:p w14:paraId="536D498E" w14:textId="5314FA1C" w:rsidR="00D17683" w:rsidRDefault="00000000">
          <w:pPr>
            <w:pStyle w:val="TOC2"/>
            <w:rPr>
              <w:rFonts w:asciiTheme="minorHAnsi" w:eastAsiaTheme="minorEastAsia" w:hAnsiTheme="minorHAnsi" w:cstheme="minorBidi"/>
              <w:noProof/>
              <w:kern w:val="2"/>
              <w14:ligatures w14:val="standardContextual"/>
            </w:rPr>
          </w:pPr>
          <w:hyperlink w:anchor="_Toc168477548"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Pool Member Appointment</w:t>
            </w:r>
            <w:r w:rsidR="00D17683">
              <w:rPr>
                <w:noProof/>
                <w:webHidden/>
              </w:rPr>
              <w:tab/>
            </w:r>
            <w:r w:rsidR="00D17683">
              <w:rPr>
                <w:noProof/>
                <w:webHidden/>
              </w:rPr>
              <w:fldChar w:fldCharType="begin"/>
            </w:r>
            <w:r w:rsidR="00D17683">
              <w:rPr>
                <w:noProof/>
                <w:webHidden/>
              </w:rPr>
              <w:instrText xml:space="preserve"> PAGEREF _Toc168477548 \h </w:instrText>
            </w:r>
            <w:r w:rsidR="00D17683">
              <w:rPr>
                <w:noProof/>
                <w:webHidden/>
              </w:rPr>
            </w:r>
            <w:r w:rsidR="00D17683">
              <w:rPr>
                <w:noProof/>
                <w:webHidden/>
              </w:rPr>
              <w:fldChar w:fldCharType="separate"/>
            </w:r>
            <w:r w:rsidR="00D17683">
              <w:rPr>
                <w:noProof/>
                <w:webHidden/>
              </w:rPr>
              <w:t>50</w:t>
            </w:r>
            <w:r w:rsidR="00D17683">
              <w:rPr>
                <w:noProof/>
                <w:webHidden/>
              </w:rPr>
              <w:fldChar w:fldCharType="end"/>
            </w:r>
          </w:hyperlink>
        </w:p>
        <w:p w14:paraId="22AB9EC9" w14:textId="3FE5F5F4" w:rsidR="00D17683" w:rsidRDefault="00000000">
          <w:pPr>
            <w:pStyle w:val="TOC2"/>
            <w:rPr>
              <w:rFonts w:asciiTheme="minorHAnsi" w:eastAsiaTheme="minorEastAsia" w:hAnsiTheme="minorHAnsi" w:cstheme="minorBidi"/>
              <w:noProof/>
              <w:kern w:val="2"/>
              <w14:ligatures w14:val="standardContextual"/>
            </w:rPr>
          </w:pPr>
          <w:hyperlink w:anchor="_Toc168477549"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Training (see Appendix J for details of training for Pool Members)</w:t>
            </w:r>
            <w:r w:rsidR="00D17683">
              <w:rPr>
                <w:noProof/>
                <w:webHidden/>
              </w:rPr>
              <w:tab/>
            </w:r>
            <w:r w:rsidR="00D17683">
              <w:rPr>
                <w:noProof/>
                <w:webHidden/>
              </w:rPr>
              <w:fldChar w:fldCharType="begin"/>
            </w:r>
            <w:r w:rsidR="00D17683">
              <w:rPr>
                <w:noProof/>
                <w:webHidden/>
              </w:rPr>
              <w:instrText xml:space="preserve"> PAGEREF _Toc168477549 \h </w:instrText>
            </w:r>
            <w:r w:rsidR="00D17683">
              <w:rPr>
                <w:noProof/>
                <w:webHidden/>
              </w:rPr>
            </w:r>
            <w:r w:rsidR="00D17683">
              <w:rPr>
                <w:noProof/>
                <w:webHidden/>
              </w:rPr>
              <w:fldChar w:fldCharType="separate"/>
            </w:r>
            <w:r w:rsidR="00D17683">
              <w:rPr>
                <w:noProof/>
                <w:webHidden/>
              </w:rPr>
              <w:t>50</w:t>
            </w:r>
            <w:r w:rsidR="00D17683">
              <w:rPr>
                <w:noProof/>
                <w:webHidden/>
              </w:rPr>
              <w:fldChar w:fldCharType="end"/>
            </w:r>
          </w:hyperlink>
        </w:p>
        <w:p w14:paraId="2CF74276" w14:textId="7DB9430F" w:rsidR="00D17683" w:rsidRDefault="00000000">
          <w:pPr>
            <w:pStyle w:val="TOC1"/>
            <w:rPr>
              <w:rFonts w:asciiTheme="minorHAnsi" w:eastAsiaTheme="minorEastAsia" w:hAnsiTheme="minorHAnsi" w:cstheme="minorBidi"/>
              <w:noProof/>
              <w:kern w:val="2"/>
              <w14:ligatures w14:val="standardContextual"/>
            </w:rPr>
          </w:pPr>
          <w:hyperlink w:anchor="_Toc168477550" w:history="1">
            <w:r w:rsidR="00D17683" w:rsidRPr="00FF36C2">
              <w:rPr>
                <w:rStyle w:val="Hyperlink"/>
                <w:noProof/>
              </w:rPr>
              <w:t>13.</w:t>
            </w:r>
            <w:r w:rsidR="00D17683">
              <w:rPr>
                <w:rFonts w:asciiTheme="minorHAnsi" w:eastAsiaTheme="minorEastAsia" w:hAnsiTheme="minorHAnsi" w:cstheme="minorBidi"/>
                <w:noProof/>
                <w:kern w:val="2"/>
                <w14:ligatures w14:val="standardContextual"/>
              </w:rPr>
              <w:tab/>
            </w:r>
            <w:r w:rsidR="00D17683" w:rsidRPr="00FF36C2">
              <w:rPr>
                <w:rStyle w:val="Hyperlink"/>
                <w:noProof/>
              </w:rPr>
              <w:t>Notice of Investigation and Allegations</w:t>
            </w:r>
            <w:r w:rsidR="00D17683">
              <w:rPr>
                <w:noProof/>
                <w:webHidden/>
              </w:rPr>
              <w:tab/>
            </w:r>
            <w:r w:rsidR="00D17683">
              <w:rPr>
                <w:noProof/>
                <w:webHidden/>
              </w:rPr>
              <w:fldChar w:fldCharType="begin"/>
            </w:r>
            <w:r w:rsidR="00D17683">
              <w:rPr>
                <w:noProof/>
                <w:webHidden/>
              </w:rPr>
              <w:instrText xml:space="preserve"> PAGEREF _Toc168477550 \h </w:instrText>
            </w:r>
            <w:r w:rsidR="00D17683">
              <w:rPr>
                <w:noProof/>
                <w:webHidden/>
              </w:rPr>
            </w:r>
            <w:r w:rsidR="00D17683">
              <w:rPr>
                <w:noProof/>
                <w:webHidden/>
              </w:rPr>
              <w:fldChar w:fldCharType="separate"/>
            </w:r>
            <w:r w:rsidR="00D17683">
              <w:rPr>
                <w:noProof/>
                <w:webHidden/>
              </w:rPr>
              <w:t>50</w:t>
            </w:r>
            <w:r w:rsidR="00D17683">
              <w:rPr>
                <w:noProof/>
                <w:webHidden/>
              </w:rPr>
              <w:fldChar w:fldCharType="end"/>
            </w:r>
          </w:hyperlink>
        </w:p>
        <w:p w14:paraId="24BD809C" w14:textId="19079D83" w:rsidR="00D17683" w:rsidRDefault="00000000">
          <w:pPr>
            <w:pStyle w:val="TOC1"/>
            <w:rPr>
              <w:rFonts w:asciiTheme="minorHAnsi" w:eastAsiaTheme="minorEastAsia" w:hAnsiTheme="minorHAnsi" w:cstheme="minorBidi"/>
              <w:noProof/>
              <w:kern w:val="2"/>
              <w14:ligatures w14:val="standardContextual"/>
            </w:rPr>
          </w:pPr>
          <w:hyperlink w:anchor="_Toc168477551" w:history="1">
            <w:r w:rsidR="00D17683" w:rsidRPr="00FF36C2">
              <w:rPr>
                <w:rStyle w:val="Hyperlink"/>
                <w:noProof/>
              </w:rPr>
              <w:t>14.</w:t>
            </w:r>
            <w:r w:rsidR="00D17683">
              <w:rPr>
                <w:rFonts w:asciiTheme="minorHAnsi" w:eastAsiaTheme="minorEastAsia" w:hAnsiTheme="minorHAnsi" w:cstheme="minorBidi"/>
                <w:noProof/>
                <w:kern w:val="2"/>
                <w14:ligatures w14:val="standardContextual"/>
              </w:rPr>
              <w:tab/>
            </w:r>
            <w:r w:rsidR="00D17683" w:rsidRPr="00FF36C2">
              <w:rPr>
                <w:rStyle w:val="Hyperlink"/>
                <w:noProof/>
              </w:rPr>
              <w:t>Resolution Timeline</w:t>
            </w:r>
            <w:r w:rsidR="00D17683">
              <w:rPr>
                <w:noProof/>
                <w:webHidden/>
              </w:rPr>
              <w:tab/>
            </w:r>
            <w:r w:rsidR="00D17683">
              <w:rPr>
                <w:noProof/>
                <w:webHidden/>
              </w:rPr>
              <w:fldChar w:fldCharType="begin"/>
            </w:r>
            <w:r w:rsidR="00D17683">
              <w:rPr>
                <w:noProof/>
                <w:webHidden/>
              </w:rPr>
              <w:instrText xml:space="preserve"> PAGEREF _Toc168477551 \h </w:instrText>
            </w:r>
            <w:r w:rsidR="00D17683">
              <w:rPr>
                <w:noProof/>
                <w:webHidden/>
              </w:rPr>
            </w:r>
            <w:r w:rsidR="00D17683">
              <w:rPr>
                <w:noProof/>
                <w:webHidden/>
              </w:rPr>
              <w:fldChar w:fldCharType="separate"/>
            </w:r>
            <w:r w:rsidR="00D17683">
              <w:rPr>
                <w:noProof/>
                <w:webHidden/>
              </w:rPr>
              <w:t>51</w:t>
            </w:r>
            <w:r w:rsidR="00D17683">
              <w:rPr>
                <w:noProof/>
                <w:webHidden/>
              </w:rPr>
              <w:fldChar w:fldCharType="end"/>
            </w:r>
          </w:hyperlink>
        </w:p>
        <w:p w14:paraId="14FBAF0D" w14:textId="63120EC3" w:rsidR="00D17683" w:rsidRDefault="00000000">
          <w:pPr>
            <w:pStyle w:val="TOC1"/>
            <w:rPr>
              <w:rFonts w:asciiTheme="minorHAnsi" w:eastAsiaTheme="minorEastAsia" w:hAnsiTheme="minorHAnsi" w:cstheme="minorBidi"/>
              <w:noProof/>
              <w:kern w:val="2"/>
              <w14:ligatures w14:val="standardContextual"/>
            </w:rPr>
          </w:pPr>
          <w:hyperlink w:anchor="_Toc168477552" w:history="1">
            <w:r w:rsidR="00D17683" w:rsidRPr="00FF36C2">
              <w:rPr>
                <w:rStyle w:val="Hyperlink"/>
                <w:noProof/>
              </w:rPr>
              <w:t>15.</w:t>
            </w:r>
            <w:r w:rsidR="00D17683">
              <w:rPr>
                <w:rFonts w:asciiTheme="minorHAnsi" w:eastAsiaTheme="minorEastAsia" w:hAnsiTheme="minorHAnsi" w:cstheme="minorBidi"/>
                <w:noProof/>
                <w:kern w:val="2"/>
                <w14:ligatures w14:val="standardContextual"/>
              </w:rPr>
              <w:tab/>
            </w:r>
            <w:r w:rsidR="00D17683" w:rsidRPr="00FF36C2">
              <w:rPr>
                <w:rStyle w:val="Hyperlink"/>
                <w:noProof/>
              </w:rPr>
              <w:t>Ensuring Impartiality</w:t>
            </w:r>
            <w:r w:rsidR="00D17683">
              <w:rPr>
                <w:noProof/>
                <w:webHidden/>
              </w:rPr>
              <w:tab/>
            </w:r>
            <w:r w:rsidR="00D17683">
              <w:rPr>
                <w:noProof/>
                <w:webHidden/>
              </w:rPr>
              <w:fldChar w:fldCharType="begin"/>
            </w:r>
            <w:r w:rsidR="00D17683">
              <w:rPr>
                <w:noProof/>
                <w:webHidden/>
              </w:rPr>
              <w:instrText xml:space="preserve"> PAGEREF _Toc168477552 \h </w:instrText>
            </w:r>
            <w:r w:rsidR="00D17683">
              <w:rPr>
                <w:noProof/>
                <w:webHidden/>
              </w:rPr>
            </w:r>
            <w:r w:rsidR="00D17683">
              <w:rPr>
                <w:noProof/>
                <w:webHidden/>
              </w:rPr>
              <w:fldChar w:fldCharType="separate"/>
            </w:r>
            <w:r w:rsidR="00D17683">
              <w:rPr>
                <w:noProof/>
                <w:webHidden/>
              </w:rPr>
              <w:t>52</w:t>
            </w:r>
            <w:r w:rsidR="00D17683">
              <w:rPr>
                <w:noProof/>
                <w:webHidden/>
              </w:rPr>
              <w:fldChar w:fldCharType="end"/>
            </w:r>
          </w:hyperlink>
        </w:p>
        <w:p w14:paraId="1677390D" w14:textId="7E4AC619" w:rsidR="00D17683" w:rsidRDefault="00000000">
          <w:pPr>
            <w:pStyle w:val="TOC1"/>
            <w:rPr>
              <w:rFonts w:asciiTheme="minorHAnsi" w:eastAsiaTheme="minorEastAsia" w:hAnsiTheme="minorHAnsi" w:cstheme="minorBidi"/>
              <w:noProof/>
              <w:kern w:val="2"/>
              <w14:ligatures w14:val="standardContextual"/>
            </w:rPr>
          </w:pPr>
          <w:hyperlink w:anchor="_Toc168477553" w:history="1">
            <w:r w:rsidR="00D17683" w:rsidRPr="00FF36C2">
              <w:rPr>
                <w:rStyle w:val="Hyperlink"/>
                <w:noProof/>
              </w:rPr>
              <w:t>16.</w:t>
            </w:r>
            <w:r w:rsidR="00D17683">
              <w:rPr>
                <w:rFonts w:asciiTheme="minorHAnsi" w:eastAsiaTheme="minorEastAsia" w:hAnsiTheme="minorHAnsi" w:cstheme="minorBidi"/>
                <w:noProof/>
                <w:kern w:val="2"/>
                <w14:ligatures w14:val="standardContextual"/>
              </w:rPr>
              <w:tab/>
            </w:r>
            <w:r w:rsidR="00D17683" w:rsidRPr="00FF36C2">
              <w:rPr>
                <w:rStyle w:val="Hyperlink"/>
                <w:noProof/>
              </w:rPr>
              <w:t>Investigator Appointment</w:t>
            </w:r>
            <w:r w:rsidR="00D17683">
              <w:rPr>
                <w:noProof/>
                <w:webHidden/>
              </w:rPr>
              <w:tab/>
            </w:r>
            <w:r w:rsidR="00D17683">
              <w:rPr>
                <w:noProof/>
                <w:webHidden/>
              </w:rPr>
              <w:fldChar w:fldCharType="begin"/>
            </w:r>
            <w:r w:rsidR="00D17683">
              <w:rPr>
                <w:noProof/>
                <w:webHidden/>
              </w:rPr>
              <w:instrText xml:space="preserve"> PAGEREF _Toc168477553 \h </w:instrText>
            </w:r>
            <w:r w:rsidR="00D17683">
              <w:rPr>
                <w:noProof/>
                <w:webHidden/>
              </w:rPr>
            </w:r>
            <w:r w:rsidR="00D17683">
              <w:rPr>
                <w:noProof/>
                <w:webHidden/>
              </w:rPr>
              <w:fldChar w:fldCharType="separate"/>
            </w:r>
            <w:r w:rsidR="00D17683">
              <w:rPr>
                <w:noProof/>
                <w:webHidden/>
              </w:rPr>
              <w:t>52</w:t>
            </w:r>
            <w:r w:rsidR="00D17683">
              <w:rPr>
                <w:noProof/>
                <w:webHidden/>
              </w:rPr>
              <w:fldChar w:fldCharType="end"/>
            </w:r>
          </w:hyperlink>
        </w:p>
        <w:p w14:paraId="76D46B74" w14:textId="2BD36010" w:rsidR="00D17683" w:rsidRDefault="00000000">
          <w:pPr>
            <w:pStyle w:val="TOC1"/>
            <w:rPr>
              <w:rFonts w:asciiTheme="minorHAnsi" w:eastAsiaTheme="minorEastAsia" w:hAnsiTheme="minorHAnsi" w:cstheme="minorBidi"/>
              <w:noProof/>
              <w:kern w:val="2"/>
              <w14:ligatures w14:val="standardContextual"/>
            </w:rPr>
          </w:pPr>
          <w:hyperlink w:anchor="_Toc168477554" w:history="1">
            <w:r w:rsidR="00D17683" w:rsidRPr="00FF36C2">
              <w:rPr>
                <w:rStyle w:val="Hyperlink"/>
                <w:noProof/>
              </w:rPr>
              <w:t>17.</w:t>
            </w:r>
            <w:r w:rsidR="00D17683">
              <w:rPr>
                <w:rFonts w:asciiTheme="minorHAnsi" w:eastAsiaTheme="minorEastAsia" w:hAnsiTheme="minorHAnsi" w:cstheme="minorBidi"/>
                <w:noProof/>
                <w:kern w:val="2"/>
                <w14:ligatures w14:val="standardContextual"/>
              </w:rPr>
              <w:tab/>
            </w:r>
            <w:r w:rsidR="00D17683" w:rsidRPr="00FF36C2">
              <w:rPr>
                <w:rStyle w:val="Hyperlink"/>
                <w:noProof/>
              </w:rPr>
              <w:t>Witness Role and Participation in the Investigation</w:t>
            </w:r>
            <w:r w:rsidR="00D17683">
              <w:rPr>
                <w:noProof/>
                <w:webHidden/>
              </w:rPr>
              <w:tab/>
            </w:r>
            <w:r w:rsidR="00D17683">
              <w:rPr>
                <w:noProof/>
                <w:webHidden/>
              </w:rPr>
              <w:fldChar w:fldCharType="begin"/>
            </w:r>
            <w:r w:rsidR="00D17683">
              <w:rPr>
                <w:noProof/>
                <w:webHidden/>
              </w:rPr>
              <w:instrText xml:space="preserve"> PAGEREF _Toc168477554 \h </w:instrText>
            </w:r>
            <w:r w:rsidR="00D17683">
              <w:rPr>
                <w:noProof/>
                <w:webHidden/>
              </w:rPr>
            </w:r>
            <w:r w:rsidR="00D17683">
              <w:rPr>
                <w:noProof/>
                <w:webHidden/>
              </w:rPr>
              <w:fldChar w:fldCharType="separate"/>
            </w:r>
            <w:r w:rsidR="00D17683">
              <w:rPr>
                <w:noProof/>
                <w:webHidden/>
              </w:rPr>
              <w:t>53</w:t>
            </w:r>
            <w:r w:rsidR="00D17683">
              <w:rPr>
                <w:noProof/>
                <w:webHidden/>
              </w:rPr>
              <w:fldChar w:fldCharType="end"/>
            </w:r>
          </w:hyperlink>
        </w:p>
        <w:p w14:paraId="4E2B4923" w14:textId="3FC2D4F5" w:rsidR="00D17683" w:rsidRDefault="00000000">
          <w:pPr>
            <w:pStyle w:val="TOC1"/>
            <w:rPr>
              <w:rFonts w:asciiTheme="minorHAnsi" w:eastAsiaTheme="minorEastAsia" w:hAnsiTheme="minorHAnsi" w:cstheme="minorBidi"/>
              <w:noProof/>
              <w:kern w:val="2"/>
              <w14:ligatures w14:val="standardContextual"/>
            </w:rPr>
          </w:pPr>
          <w:hyperlink w:anchor="_Toc168477555" w:history="1">
            <w:r w:rsidR="00D17683" w:rsidRPr="00FF36C2">
              <w:rPr>
                <w:rStyle w:val="Hyperlink"/>
                <w:noProof/>
              </w:rPr>
              <w:t>18.</w:t>
            </w:r>
            <w:r w:rsidR="00D17683">
              <w:rPr>
                <w:rFonts w:asciiTheme="minorHAnsi" w:eastAsiaTheme="minorEastAsia" w:hAnsiTheme="minorHAnsi" w:cstheme="minorBidi"/>
                <w:noProof/>
                <w:kern w:val="2"/>
                <w14:ligatures w14:val="standardContextual"/>
              </w:rPr>
              <w:tab/>
            </w:r>
            <w:r w:rsidR="00D17683" w:rsidRPr="00FF36C2">
              <w:rPr>
                <w:rStyle w:val="Hyperlink"/>
                <w:noProof/>
              </w:rPr>
              <w:t>Interview Recording</w:t>
            </w:r>
            <w:r w:rsidR="00D17683">
              <w:rPr>
                <w:noProof/>
                <w:webHidden/>
              </w:rPr>
              <w:tab/>
            </w:r>
            <w:r w:rsidR="00D17683">
              <w:rPr>
                <w:noProof/>
                <w:webHidden/>
              </w:rPr>
              <w:fldChar w:fldCharType="begin"/>
            </w:r>
            <w:r w:rsidR="00D17683">
              <w:rPr>
                <w:noProof/>
                <w:webHidden/>
              </w:rPr>
              <w:instrText xml:space="preserve"> PAGEREF _Toc168477555 \h </w:instrText>
            </w:r>
            <w:r w:rsidR="00D17683">
              <w:rPr>
                <w:noProof/>
                <w:webHidden/>
              </w:rPr>
            </w:r>
            <w:r w:rsidR="00D17683">
              <w:rPr>
                <w:noProof/>
                <w:webHidden/>
              </w:rPr>
              <w:fldChar w:fldCharType="separate"/>
            </w:r>
            <w:r w:rsidR="00D17683">
              <w:rPr>
                <w:noProof/>
                <w:webHidden/>
              </w:rPr>
              <w:t>53</w:t>
            </w:r>
            <w:r w:rsidR="00D17683">
              <w:rPr>
                <w:noProof/>
                <w:webHidden/>
              </w:rPr>
              <w:fldChar w:fldCharType="end"/>
            </w:r>
          </w:hyperlink>
        </w:p>
        <w:p w14:paraId="6DA19143" w14:textId="497C0442" w:rsidR="00D17683" w:rsidRDefault="00000000">
          <w:pPr>
            <w:pStyle w:val="TOC1"/>
            <w:rPr>
              <w:rFonts w:asciiTheme="minorHAnsi" w:eastAsiaTheme="minorEastAsia" w:hAnsiTheme="minorHAnsi" w:cstheme="minorBidi"/>
              <w:noProof/>
              <w:kern w:val="2"/>
              <w14:ligatures w14:val="standardContextual"/>
            </w:rPr>
          </w:pPr>
          <w:hyperlink w:anchor="_Toc168477556" w:history="1">
            <w:r w:rsidR="00D17683" w:rsidRPr="00FF36C2">
              <w:rPr>
                <w:rStyle w:val="Hyperlink"/>
                <w:noProof/>
              </w:rPr>
              <w:t>19.</w:t>
            </w:r>
            <w:r w:rsidR="00D17683">
              <w:rPr>
                <w:rFonts w:asciiTheme="minorHAnsi" w:eastAsiaTheme="minorEastAsia" w:hAnsiTheme="minorHAnsi" w:cstheme="minorBidi"/>
                <w:noProof/>
                <w:kern w:val="2"/>
                <w14:ligatures w14:val="standardContextual"/>
              </w:rPr>
              <w:tab/>
            </w:r>
            <w:r w:rsidR="00D17683" w:rsidRPr="00FF36C2">
              <w:rPr>
                <w:rStyle w:val="Hyperlink"/>
                <w:noProof/>
              </w:rPr>
              <w:t>Evidentiary Considerations</w:t>
            </w:r>
            <w:r w:rsidR="00D17683">
              <w:rPr>
                <w:noProof/>
                <w:webHidden/>
              </w:rPr>
              <w:tab/>
            </w:r>
            <w:r w:rsidR="00D17683">
              <w:rPr>
                <w:noProof/>
                <w:webHidden/>
              </w:rPr>
              <w:fldChar w:fldCharType="begin"/>
            </w:r>
            <w:r w:rsidR="00D17683">
              <w:rPr>
                <w:noProof/>
                <w:webHidden/>
              </w:rPr>
              <w:instrText xml:space="preserve"> PAGEREF _Toc168477556 \h </w:instrText>
            </w:r>
            <w:r w:rsidR="00D17683">
              <w:rPr>
                <w:noProof/>
                <w:webHidden/>
              </w:rPr>
            </w:r>
            <w:r w:rsidR="00D17683">
              <w:rPr>
                <w:noProof/>
                <w:webHidden/>
              </w:rPr>
              <w:fldChar w:fldCharType="separate"/>
            </w:r>
            <w:r w:rsidR="00D17683">
              <w:rPr>
                <w:noProof/>
                <w:webHidden/>
              </w:rPr>
              <w:t>53</w:t>
            </w:r>
            <w:r w:rsidR="00D17683">
              <w:rPr>
                <w:noProof/>
                <w:webHidden/>
              </w:rPr>
              <w:fldChar w:fldCharType="end"/>
            </w:r>
          </w:hyperlink>
        </w:p>
        <w:p w14:paraId="6A4EB777" w14:textId="356712E9" w:rsidR="00D17683" w:rsidRDefault="00000000">
          <w:pPr>
            <w:pStyle w:val="TOC1"/>
            <w:rPr>
              <w:rFonts w:asciiTheme="minorHAnsi" w:eastAsiaTheme="minorEastAsia" w:hAnsiTheme="minorHAnsi" w:cstheme="minorBidi"/>
              <w:noProof/>
              <w:kern w:val="2"/>
              <w14:ligatures w14:val="standardContextual"/>
            </w:rPr>
          </w:pPr>
          <w:hyperlink w:anchor="_Toc168477557" w:history="1">
            <w:r w:rsidR="00D17683" w:rsidRPr="00FF36C2">
              <w:rPr>
                <w:rStyle w:val="Hyperlink"/>
                <w:noProof/>
              </w:rPr>
              <w:t>20.</w:t>
            </w:r>
            <w:r w:rsidR="00D17683">
              <w:rPr>
                <w:rFonts w:asciiTheme="minorHAnsi" w:eastAsiaTheme="minorEastAsia" w:hAnsiTheme="minorHAnsi" w:cstheme="minorBidi"/>
                <w:noProof/>
                <w:kern w:val="2"/>
                <w14:ligatures w14:val="standardContextual"/>
              </w:rPr>
              <w:tab/>
            </w:r>
            <w:r w:rsidR="00D17683" w:rsidRPr="00FF36C2">
              <w:rPr>
                <w:rStyle w:val="Hyperlink"/>
                <w:noProof/>
              </w:rPr>
              <w:t>Respondent Admits Responsibility</w:t>
            </w:r>
            <w:r w:rsidR="00D17683">
              <w:rPr>
                <w:noProof/>
                <w:webHidden/>
              </w:rPr>
              <w:tab/>
            </w:r>
            <w:r w:rsidR="00D17683">
              <w:rPr>
                <w:noProof/>
                <w:webHidden/>
              </w:rPr>
              <w:fldChar w:fldCharType="begin"/>
            </w:r>
            <w:r w:rsidR="00D17683">
              <w:rPr>
                <w:noProof/>
                <w:webHidden/>
              </w:rPr>
              <w:instrText xml:space="preserve"> PAGEREF _Toc168477557 \h </w:instrText>
            </w:r>
            <w:r w:rsidR="00D17683">
              <w:rPr>
                <w:noProof/>
                <w:webHidden/>
              </w:rPr>
            </w:r>
            <w:r w:rsidR="00D17683">
              <w:rPr>
                <w:noProof/>
                <w:webHidden/>
              </w:rPr>
              <w:fldChar w:fldCharType="separate"/>
            </w:r>
            <w:r w:rsidR="00D17683">
              <w:rPr>
                <w:noProof/>
                <w:webHidden/>
              </w:rPr>
              <w:t>54</w:t>
            </w:r>
            <w:r w:rsidR="00D17683">
              <w:rPr>
                <w:noProof/>
                <w:webHidden/>
              </w:rPr>
              <w:fldChar w:fldCharType="end"/>
            </w:r>
          </w:hyperlink>
        </w:p>
        <w:p w14:paraId="68E14172" w14:textId="0FD826DD" w:rsidR="00D17683" w:rsidRDefault="00000000">
          <w:pPr>
            <w:pStyle w:val="TOC1"/>
            <w:rPr>
              <w:rFonts w:asciiTheme="minorHAnsi" w:eastAsiaTheme="minorEastAsia" w:hAnsiTheme="minorHAnsi" w:cstheme="minorBidi"/>
              <w:noProof/>
              <w:kern w:val="2"/>
              <w14:ligatures w14:val="standardContextual"/>
            </w:rPr>
          </w:pPr>
          <w:hyperlink w:anchor="_Toc168477558" w:history="1">
            <w:r w:rsidR="00D17683" w:rsidRPr="00FF36C2">
              <w:rPr>
                <w:rStyle w:val="Hyperlink"/>
                <w:noProof/>
              </w:rPr>
              <w:t>21.</w:t>
            </w:r>
            <w:r w:rsidR="00D17683">
              <w:rPr>
                <w:rFonts w:asciiTheme="minorHAnsi" w:eastAsiaTheme="minorEastAsia" w:hAnsiTheme="minorHAnsi" w:cstheme="minorBidi"/>
                <w:noProof/>
                <w:kern w:val="2"/>
                <w14:ligatures w14:val="standardContextual"/>
              </w:rPr>
              <w:tab/>
            </w:r>
            <w:r w:rsidR="00D17683" w:rsidRPr="00FF36C2">
              <w:rPr>
                <w:rStyle w:val="Hyperlink"/>
                <w:noProof/>
              </w:rPr>
              <w:t>Investigation</w:t>
            </w:r>
            <w:r w:rsidR="00D17683">
              <w:rPr>
                <w:noProof/>
                <w:webHidden/>
              </w:rPr>
              <w:tab/>
            </w:r>
            <w:r w:rsidR="00D17683">
              <w:rPr>
                <w:noProof/>
                <w:webHidden/>
              </w:rPr>
              <w:fldChar w:fldCharType="begin"/>
            </w:r>
            <w:r w:rsidR="00D17683">
              <w:rPr>
                <w:noProof/>
                <w:webHidden/>
              </w:rPr>
              <w:instrText xml:space="preserve"> PAGEREF _Toc168477558 \h </w:instrText>
            </w:r>
            <w:r w:rsidR="00D17683">
              <w:rPr>
                <w:noProof/>
                <w:webHidden/>
              </w:rPr>
            </w:r>
            <w:r w:rsidR="00D17683">
              <w:rPr>
                <w:noProof/>
                <w:webHidden/>
              </w:rPr>
              <w:fldChar w:fldCharType="separate"/>
            </w:r>
            <w:r w:rsidR="00D17683">
              <w:rPr>
                <w:noProof/>
                <w:webHidden/>
              </w:rPr>
              <w:t>54</w:t>
            </w:r>
            <w:r w:rsidR="00D17683">
              <w:rPr>
                <w:noProof/>
                <w:webHidden/>
              </w:rPr>
              <w:fldChar w:fldCharType="end"/>
            </w:r>
          </w:hyperlink>
        </w:p>
        <w:p w14:paraId="24989DDD" w14:textId="3A799884" w:rsidR="00D17683" w:rsidRDefault="00000000">
          <w:pPr>
            <w:pStyle w:val="TOC1"/>
            <w:rPr>
              <w:rFonts w:asciiTheme="minorHAnsi" w:eastAsiaTheme="minorEastAsia" w:hAnsiTheme="minorHAnsi" w:cstheme="minorBidi"/>
              <w:noProof/>
              <w:kern w:val="2"/>
              <w14:ligatures w14:val="standardContextual"/>
            </w:rPr>
          </w:pPr>
          <w:hyperlink w:anchor="_Toc168477559" w:history="1">
            <w:r w:rsidR="00D17683" w:rsidRPr="00FF36C2">
              <w:rPr>
                <w:rStyle w:val="Hyperlink"/>
                <w:noProof/>
              </w:rPr>
              <w:t>22.</w:t>
            </w:r>
            <w:r w:rsidR="00D17683">
              <w:rPr>
                <w:rFonts w:asciiTheme="minorHAnsi" w:eastAsiaTheme="minorEastAsia" w:hAnsiTheme="minorHAnsi" w:cstheme="minorBidi"/>
                <w:noProof/>
                <w:kern w:val="2"/>
                <w14:ligatures w14:val="standardContextual"/>
              </w:rPr>
              <w:tab/>
            </w:r>
            <w:r w:rsidR="00D17683" w:rsidRPr="00FF36C2">
              <w:rPr>
                <w:rStyle w:val="Hyperlink"/>
                <w:noProof/>
              </w:rPr>
              <w:t>Administrative Resolution Process</w:t>
            </w:r>
            <w:r w:rsidR="00D17683">
              <w:rPr>
                <w:noProof/>
                <w:webHidden/>
              </w:rPr>
              <w:tab/>
            </w:r>
            <w:r w:rsidR="00D17683">
              <w:rPr>
                <w:noProof/>
                <w:webHidden/>
              </w:rPr>
              <w:fldChar w:fldCharType="begin"/>
            </w:r>
            <w:r w:rsidR="00D17683">
              <w:rPr>
                <w:noProof/>
                <w:webHidden/>
              </w:rPr>
              <w:instrText xml:space="preserve"> PAGEREF _Toc168477559 \h </w:instrText>
            </w:r>
            <w:r w:rsidR="00D17683">
              <w:rPr>
                <w:noProof/>
                <w:webHidden/>
              </w:rPr>
            </w:r>
            <w:r w:rsidR="00D17683">
              <w:rPr>
                <w:noProof/>
                <w:webHidden/>
              </w:rPr>
              <w:fldChar w:fldCharType="separate"/>
            </w:r>
            <w:r w:rsidR="00D17683">
              <w:rPr>
                <w:noProof/>
                <w:webHidden/>
              </w:rPr>
              <w:t>55</w:t>
            </w:r>
            <w:r w:rsidR="00D17683">
              <w:rPr>
                <w:noProof/>
                <w:webHidden/>
              </w:rPr>
              <w:fldChar w:fldCharType="end"/>
            </w:r>
          </w:hyperlink>
        </w:p>
        <w:p w14:paraId="0DECECE6" w14:textId="489BA09F" w:rsidR="00D17683" w:rsidRDefault="00000000">
          <w:pPr>
            <w:pStyle w:val="TOC1"/>
            <w:rPr>
              <w:rFonts w:asciiTheme="minorHAnsi" w:eastAsiaTheme="minorEastAsia" w:hAnsiTheme="minorHAnsi" w:cstheme="minorBidi"/>
              <w:noProof/>
              <w:kern w:val="2"/>
              <w14:ligatures w14:val="standardContextual"/>
            </w:rPr>
          </w:pPr>
          <w:hyperlink w:anchor="_Toc168477560" w:history="1">
            <w:r w:rsidR="00D17683" w:rsidRPr="00FF36C2">
              <w:rPr>
                <w:rStyle w:val="Hyperlink"/>
                <w:noProof/>
              </w:rPr>
              <w:t>23.</w:t>
            </w:r>
            <w:r w:rsidR="00D17683">
              <w:rPr>
                <w:rFonts w:asciiTheme="minorHAnsi" w:eastAsiaTheme="minorEastAsia" w:hAnsiTheme="minorHAnsi" w:cstheme="minorBidi"/>
                <w:noProof/>
                <w:kern w:val="2"/>
                <w14:ligatures w14:val="standardContextual"/>
              </w:rPr>
              <w:tab/>
            </w:r>
            <w:r w:rsidR="00D17683" w:rsidRPr="00FF36C2">
              <w:rPr>
                <w:rStyle w:val="Hyperlink"/>
                <w:noProof/>
              </w:rPr>
              <w:t>Sanctions</w:t>
            </w:r>
            <w:r w:rsidR="00D17683">
              <w:rPr>
                <w:noProof/>
                <w:webHidden/>
              </w:rPr>
              <w:tab/>
            </w:r>
            <w:r w:rsidR="00D17683">
              <w:rPr>
                <w:noProof/>
                <w:webHidden/>
              </w:rPr>
              <w:fldChar w:fldCharType="begin"/>
            </w:r>
            <w:r w:rsidR="00D17683">
              <w:rPr>
                <w:noProof/>
                <w:webHidden/>
              </w:rPr>
              <w:instrText xml:space="preserve"> PAGEREF _Toc168477560 \h </w:instrText>
            </w:r>
            <w:r w:rsidR="00D17683">
              <w:rPr>
                <w:noProof/>
                <w:webHidden/>
              </w:rPr>
            </w:r>
            <w:r w:rsidR="00D17683">
              <w:rPr>
                <w:noProof/>
                <w:webHidden/>
              </w:rPr>
              <w:fldChar w:fldCharType="separate"/>
            </w:r>
            <w:r w:rsidR="00D17683">
              <w:rPr>
                <w:noProof/>
                <w:webHidden/>
              </w:rPr>
              <w:t>58</w:t>
            </w:r>
            <w:r w:rsidR="00D17683">
              <w:rPr>
                <w:noProof/>
                <w:webHidden/>
              </w:rPr>
              <w:fldChar w:fldCharType="end"/>
            </w:r>
          </w:hyperlink>
        </w:p>
        <w:p w14:paraId="5548DD37" w14:textId="2BBA9589" w:rsidR="00D17683" w:rsidRDefault="00000000">
          <w:pPr>
            <w:pStyle w:val="TOC2"/>
            <w:rPr>
              <w:rFonts w:asciiTheme="minorHAnsi" w:eastAsiaTheme="minorEastAsia" w:hAnsiTheme="minorHAnsi" w:cstheme="minorBidi"/>
              <w:noProof/>
              <w:kern w:val="2"/>
              <w14:ligatures w14:val="standardContextual"/>
            </w:rPr>
          </w:pPr>
          <w:hyperlink w:anchor="_Toc168477561"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Student Sanctions</w:t>
            </w:r>
            <w:r w:rsidR="00D17683">
              <w:rPr>
                <w:noProof/>
                <w:webHidden/>
              </w:rPr>
              <w:tab/>
            </w:r>
            <w:r w:rsidR="00D17683">
              <w:rPr>
                <w:noProof/>
                <w:webHidden/>
              </w:rPr>
              <w:fldChar w:fldCharType="begin"/>
            </w:r>
            <w:r w:rsidR="00D17683">
              <w:rPr>
                <w:noProof/>
                <w:webHidden/>
              </w:rPr>
              <w:instrText xml:space="preserve"> PAGEREF _Toc168477561 \h </w:instrText>
            </w:r>
            <w:r w:rsidR="00D17683">
              <w:rPr>
                <w:noProof/>
                <w:webHidden/>
              </w:rPr>
            </w:r>
            <w:r w:rsidR="00D17683">
              <w:rPr>
                <w:noProof/>
                <w:webHidden/>
              </w:rPr>
              <w:fldChar w:fldCharType="separate"/>
            </w:r>
            <w:r w:rsidR="00D17683">
              <w:rPr>
                <w:noProof/>
                <w:webHidden/>
              </w:rPr>
              <w:t>59</w:t>
            </w:r>
            <w:r w:rsidR="00D17683">
              <w:rPr>
                <w:noProof/>
                <w:webHidden/>
              </w:rPr>
              <w:fldChar w:fldCharType="end"/>
            </w:r>
          </w:hyperlink>
        </w:p>
        <w:p w14:paraId="675B6085" w14:textId="0FB77C10" w:rsidR="00D17683" w:rsidRDefault="00000000">
          <w:pPr>
            <w:pStyle w:val="TOC2"/>
            <w:rPr>
              <w:rFonts w:asciiTheme="minorHAnsi" w:eastAsiaTheme="minorEastAsia" w:hAnsiTheme="minorHAnsi" w:cstheme="minorBidi"/>
              <w:noProof/>
              <w:kern w:val="2"/>
              <w14:ligatures w14:val="standardContextual"/>
            </w:rPr>
          </w:pPr>
          <w:hyperlink w:anchor="_Toc168477562"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Student Group and Organization Sanctions</w:t>
            </w:r>
            <w:r w:rsidR="00D17683">
              <w:rPr>
                <w:noProof/>
                <w:webHidden/>
              </w:rPr>
              <w:tab/>
            </w:r>
            <w:r w:rsidR="00D17683">
              <w:rPr>
                <w:noProof/>
                <w:webHidden/>
              </w:rPr>
              <w:fldChar w:fldCharType="begin"/>
            </w:r>
            <w:r w:rsidR="00D17683">
              <w:rPr>
                <w:noProof/>
                <w:webHidden/>
              </w:rPr>
              <w:instrText xml:space="preserve"> PAGEREF _Toc168477562 \h </w:instrText>
            </w:r>
            <w:r w:rsidR="00D17683">
              <w:rPr>
                <w:noProof/>
                <w:webHidden/>
              </w:rPr>
            </w:r>
            <w:r w:rsidR="00D17683">
              <w:rPr>
                <w:noProof/>
                <w:webHidden/>
              </w:rPr>
              <w:fldChar w:fldCharType="separate"/>
            </w:r>
            <w:r w:rsidR="00D17683">
              <w:rPr>
                <w:noProof/>
                <w:webHidden/>
              </w:rPr>
              <w:t>60</w:t>
            </w:r>
            <w:r w:rsidR="00D17683">
              <w:rPr>
                <w:noProof/>
                <w:webHidden/>
              </w:rPr>
              <w:fldChar w:fldCharType="end"/>
            </w:r>
          </w:hyperlink>
        </w:p>
        <w:p w14:paraId="3792AA7B" w14:textId="11153274" w:rsidR="00D17683" w:rsidRDefault="00000000">
          <w:pPr>
            <w:pStyle w:val="TOC2"/>
            <w:rPr>
              <w:rFonts w:asciiTheme="minorHAnsi" w:eastAsiaTheme="minorEastAsia" w:hAnsiTheme="minorHAnsi" w:cstheme="minorBidi"/>
              <w:noProof/>
              <w:kern w:val="2"/>
              <w14:ligatures w14:val="standardContextual"/>
            </w:rPr>
          </w:pPr>
          <w:hyperlink w:anchor="_Toc168477563"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Employee Sanctions/Responsive/Corrective Actions</w:t>
            </w:r>
            <w:r w:rsidR="00D17683">
              <w:rPr>
                <w:noProof/>
                <w:webHidden/>
              </w:rPr>
              <w:tab/>
            </w:r>
            <w:r w:rsidR="00D17683">
              <w:rPr>
                <w:noProof/>
                <w:webHidden/>
              </w:rPr>
              <w:fldChar w:fldCharType="begin"/>
            </w:r>
            <w:r w:rsidR="00D17683">
              <w:rPr>
                <w:noProof/>
                <w:webHidden/>
              </w:rPr>
              <w:instrText xml:space="preserve"> PAGEREF _Toc168477563 \h </w:instrText>
            </w:r>
            <w:r w:rsidR="00D17683">
              <w:rPr>
                <w:noProof/>
                <w:webHidden/>
              </w:rPr>
            </w:r>
            <w:r w:rsidR="00D17683">
              <w:rPr>
                <w:noProof/>
                <w:webHidden/>
              </w:rPr>
              <w:fldChar w:fldCharType="separate"/>
            </w:r>
            <w:r w:rsidR="00D17683">
              <w:rPr>
                <w:noProof/>
                <w:webHidden/>
              </w:rPr>
              <w:t>61</w:t>
            </w:r>
            <w:r w:rsidR="00D17683">
              <w:rPr>
                <w:noProof/>
                <w:webHidden/>
              </w:rPr>
              <w:fldChar w:fldCharType="end"/>
            </w:r>
          </w:hyperlink>
        </w:p>
        <w:p w14:paraId="10A2F432" w14:textId="2F522B7D" w:rsidR="00D17683" w:rsidRDefault="00000000">
          <w:pPr>
            <w:pStyle w:val="TOC1"/>
            <w:rPr>
              <w:rFonts w:asciiTheme="minorHAnsi" w:eastAsiaTheme="minorEastAsia" w:hAnsiTheme="minorHAnsi" w:cstheme="minorBidi"/>
              <w:noProof/>
              <w:kern w:val="2"/>
              <w14:ligatures w14:val="standardContextual"/>
            </w:rPr>
          </w:pPr>
          <w:hyperlink w:anchor="_Toc168477564" w:history="1">
            <w:r w:rsidR="00D17683" w:rsidRPr="00FF36C2">
              <w:rPr>
                <w:rStyle w:val="Hyperlink"/>
                <w:noProof/>
              </w:rPr>
              <w:t>24.</w:t>
            </w:r>
            <w:r w:rsidR="00D17683">
              <w:rPr>
                <w:rFonts w:asciiTheme="minorHAnsi" w:eastAsiaTheme="minorEastAsia" w:hAnsiTheme="minorHAnsi" w:cstheme="minorBidi"/>
                <w:noProof/>
                <w:kern w:val="2"/>
                <w14:ligatures w14:val="standardContextual"/>
              </w:rPr>
              <w:tab/>
            </w:r>
            <w:r w:rsidR="00D17683" w:rsidRPr="00FF36C2">
              <w:rPr>
                <w:rStyle w:val="Hyperlink"/>
                <w:noProof/>
              </w:rPr>
              <w:t>Notice of Outcome</w:t>
            </w:r>
            <w:r w:rsidR="00D17683">
              <w:rPr>
                <w:noProof/>
                <w:webHidden/>
              </w:rPr>
              <w:tab/>
            </w:r>
            <w:r w:rsidR="00D17683">
              <w:rPr>
                <w:noProof/>
                <w:webHidden/>
              </w:rPr>
              <w:fldChar w:fldCharType="begin"/>
            </w:r>
            <w:r w:rsidR="00D17683">
              <w:rPr>
                <w:noProof/>
                <w:webHidden/>
              </w:rPr>
              <w:instrText xml:space="preserve"> PAGEREF _Toc168477564 \h </w:instrText>
            </w:r>
            <w:r w:rsidR="00D17683">
              <w:rPr>
                <w:noProof/>
                <w:webHidden/>
              </w:rPr>
            </w:r>
            <w:r w:rsidR="00D17683">
              <w:rPr>
                <w:noProof/>
                <w:webHidden/>
              </w:rPr>
              <w:fldChar w:fldCharType="separate"/>
            </w:r>
            <w:r w:rsidR="00D17683">
              <w:rPr>
                <w:noProof/>
                <w:webHidden/>
              </w:rPr>
              <w:t>61</w:t>
            </w:r>
            <w:r w:rsidR="00D17683">
              <w:rPr>
                <w:noProof/>
                <w:webHidden/>
              </w:rPr>
              <w:fldChar w:fldCharType="end"/>
            </w:r>
          </w:hyperlink>
        </w:p>
        <w:p w14:paraId="567EEEE4" w14:textId="24BCBAC7" w:rsidR="00D17683" w:rsidRDefault="00000000">
          <w:pPr>
            <w:pStyle w:val="TOC1"/>
            <w:rPr>
              <w:rFonts w:asciiTheme="minorHAnsi" w:eastAsiaTheme="minorEastAsia" w:hAnsiTheme="minorHAnsi" w:cstheme="minorBidi"/>
              <w:noProof/>
              <w:kern w:val="2"/>
              <w14:ligatures w14:val="standardContextual"/>
            </w:rPr>
          </w:pPr>
          <w:hyperlink w:anchor="_Toc168477565" w:history="1">
            <w:r w:rsidR="00D17683" w:rsidRPr="00FF36C2">
              <w:rPr>
                <w:rStyle w:val="Hyperlink"/>
                <w:noProof/>
              </w:rPr>
              <w:t>25.</w:t>
            </w:r>
            <w:r w:rsidR="00D17683">
              <w:rPr>
                <w:rFonts w:asciiTheme="minorHAnsi" w:eastAsiaTheme="minorEastAsia" w:hAnsiTheme="minorHAnsi" w:cstheme="minorBidi"/>
                <w:noProof/>
                <w:kern w:val="2"/>
                <w14:ligatures w14:val="standardContextual"/>
              </w:rPr>
              <w:tab/>
            </w:r>
            <w:r w:rsidR="00D17683" w:rsidRPr="00FF36C2">
              <w:rPr>
                <w:rStyle w:val="Hyperlink"/>
                <w:noProof/>
              </w:rPr>
              <w:t>Withdrawal or Resignation Before Complaint Resolution</w:t>
            </w:r>
            <w:r w:rsidR="00D17683">
              <w:rPr>
                <w:noProof/>
                <w:webHidden/>
              </w:rPr>
              <w:tab/>
            </w:r>
            <w:r w:rsidR="00D17683">
              <w:rPr>
                <w:noProof/>
                <w:webHidden/>
              </w:rPr>
              <w:fldChar w:fldCharType="begin"/>
            </w:r>
            <w:r w:rsidR="00D17683">
              <w:rPr>
                <w:noProof/>
                <w:webHidden/>
              </w:rPr>
              <w:instrText xml:space="preserve"> PAGEREF _Toc168477565 \h </w:instrText>
            </w:r>
            <w:r w:rsidR="00D17683">
              <w:rPr>
                <w:noProof/>
                <w:webHidden/>
              </w:rPr>
            </w:r>
            <w:r w:rsidR="00D17683">
              <w:rPr>
                <w:noProof/>
                <w:webHidden/>
              </w:rPr>
              <w:fldChar w:fldCharType="separate"/>
            </w:r>
            <w:r w:rsidR="00D17683">
              <w:rPr>
                <w:noProof/>
                <w:webHidden/>
              </w:rPr>
              <w:t>62</w:t>
            </w:r>
            <w:r w:rsidR="00D17683">
              <w:rPr>
                <w:noProof/>
                <w:webHidden/>
              </w:rPr>
              <w:fldChar w:fldCharType="end"/>
            </w:r>
          </w:hyperlink>
        </w:p>
        <w:p w14:paraId="5E9F7AAA" w14:textId="2C97504E" w:rsidR="00D17683" w:rsidRDefault="00000000">
          <w:pPr>
            <w:pStyle w:val="TOC2"/>
            <w:rPr>
              <w:rFonts w:asciiTheme="minorHAnsi" w:eastAsiaTheme="minorEastAsia" w:hAnsiTheme="minorHAnsi" w:cstheme="minorBidi"/>
              <w:noProof/>
              <w:kern w:val="2"/>
              <w14:ligatures w14:val="standardContextual"/>
            </w:rPr>
          </w:pPr>
          <w:hyperlink w:anchor="_Toc168477566"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Students</w:t>
            </w:r>
            <w:r w:rsidR="00D17683">
              <w:rPr>
                <w:noProof/>
                <w:webHidden/>
              </w:rPr>
              <w:tab/>
            </w:r>
            <w:r w:rsidR="00D17683">
              <w:rPr>
                <w:noProof/>
                <w:webHidden/>
              </w:rPr>
              <w:fldChar w:fldCharType="begin"/>
            </w:r>
            <w:r w:rsidR="00D17683">
              <w:rPr>
                <w:noProof/>
                <w:webHidden/>
              </w:rPr>
              <w:instrText xml:space="preserve"> PAGEREF _Toc168477566 \h </w:instrText>
            </w:r>
            <w:r w:rsidR="00D17683">
              <w:rPr>
                <w:noProof/>
                <w:webHidden/>
              </w:rPr>
            </w:r>
            <w:r w:rsidR="00D17683">
              <w:rPr>
                <w:noProof/>
                <w:webHidden/>
              </w:rPr>
              <w:fldChar w:fldCharType="separate"/>
            </w:r>
            <w:r w:rsidR="00D17683">
              <w:rPr>
                <w:noProof/>
                <w:webHidden/>
              </w:rPr>
              <w:t>62</w:t>
            </w:r>
            <w:r w:rsidR="00D17683">
              <w:rPr>
                <w:noProof/>
                <w:webHidden/>
              </w:rPr>
              <w:fldChar w:fldCharType="end"/>
            </w:r>
          </w:hyperlink>
        </w:p>
        <w:p w14:paraId="2731C3CB" w14:textId="679BE957" w:rsidR="00D17683" w:rsidRDefault="00000000">
          <w:pPr>
            <w:pStyle w:val="TOC2"/>
            <w:rPr>
              <w:rFonts w:asciiTheme="minorHAnsi" w:eastAsiaTheme="minorEastAsia" w:hAnsiTheme="minorHAnsi" w:cstheme="minorBidi"/>
              <w:noProof/>
              <w:kern w:val="2"/>
              <w14:ligatures w14:val="standardContextual"/>
            </w:rPr>
          </w:pPr>
          <w:hyperlink w:anchor="_Toc168477567"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Employees</w:t>
            </w:r>
            <w:r w:rsidR="00D17683">
              <w:rPr>
                <w:noProof/>
                <w:webHidden/>
              </w:rPr>
              <w:tab/>
            </w:r>
            <w:r w:rsidR="00D17683">
              <w:rPr>
                <w:noProof/>
                <w:webHidden/>
              </w:rPr>
              <w:fldChar w:fldCharType="begin"/>
            </w:r>
            <w:r w:rsidR="00D17683">
              <w:rPr>
                <w:noProof/>
                <w:webHidden/>
              </w:rPr>
              <w:instrText xml:space="preserve"> PAGEREF _Toc168477567 \h </w:instrText>
            </w:r>
            <w:r w:rsidR="00D17683">
              <w:rPr>
                <w:noProof/>
                <w:webHidden/>
              </w:rPr>
            </w:r>
            <w:r w:rsidR="00D17683">
              <w:rPr>
                <w:noProof/>
                <w:webHidden/>
              </w:rPr>
              <w:fldChar w:fldCharType="separate"/>
            </w:r>
            <w:r w:rsidR="00D17683">
              <w:rPr>
                <w:noProof/>
                <w:webHidden/>
              </w:rPr>
              <w:t>62</w:t>
            </w:r>
            <w:r w:rsidR="00D17683">
              <w:rPr>
                <w:noProof/>
                <w:webHidden/>
              </w:rPr>
              <w:fldChar w:fldCharType="end"/>
            </w:r>
          </w:hyperlink>
        </w:p>
        <w:p w14:paraId="3B311C23" w14:textId="241F8DD5" w:rsidR="00D17683" w:rsidRDefault="00000000">
          <w:pPr>
            <w:pStyle w:val="TOC1"/>
            <w:rPr>
              <w:rFonts w:asciiTheme="minorHAnsi" w:eastAsiaTheme="minorEastAsia" w:hAnsiTheme="minorHAnsi" w:cstheme="minorBidi"/>
              <w:noProof/>
              <w:kern w:val="2"/>
              <w14:ligatures w14:val="standardContextual"/>
            </w:rPr>
          </w:pPr>
          <w:hyperlink w:anchor="_Toc168477568" w:history="1">
            <w:r w:rsidR="00D17683" w:rsidRPr="00FF36C2">
              <w:rPr>
                <w:rStyle w:val="Hyperlink"/>
                <w:noProof/>
              </w:rPr>
              <w:t>26.</w:t>
            </w:r>
            <w:r w:rsidR="00D17683">
              <w:rPr>
                <w:rFonts w:asciiTheme="minorHAnsi" w:eastAsiaTheme="minorEastAsia" w:hAnsiTheme="minorHAnsi" w:cstheme="minorBidi"/>
                <w:noProof/>
                <w:kern w:val="2"/>
                <w14:ligatures w14:val="standardContextual"/>
              </w:rPr>
              <w:tab/>
            </w:r>
            <w:r w:rsidR="00D17683" w:rsidRPr="00FF36C2">
              <w:rPr>
                <w:rStyle w:val="Hyperlink"/>
                <w:noProof/>
              </w:rPr>
              <w:t>Appeal of the Determination</w:t>
            </w:r>
            <w:r w:rsidR="00D17683">
              <w:rPr>
                <w:noProof/>
                <w:webHidden/>
              </w:rPr>
              <w:tab/>
            </w:r>
            <w:r w:rsidR="00D17683">
              <w:rPr>
                <w:noProof/>
                <w:webHidden/>
              </w:rPr>
              <w:fldChar w:fldCharType="begin"/>
            </w:r>
            <w:r w:rsidR="00D17683">
              <w:rPr>
                <w:noProof/>
                <w:webHidden/>
              </w:rPr>
              <w:instrText xml:space="preserve"> PAGEREF _Toc168477568 \h </w:instrText>
            </w:r>
            <w:r w:rsidR="00D17683">
              <w:rPr>
                <w:noProof/>
                <w:webHidden/>
              </w:rPr>
            </w:r>
            <w:r w:rsidR="00D17683">
              <w:rPr>
                <w:noProof/>
                <w:webHidden/>
              </w:rPr>
              <w:fldChar w:fldCharType="separate"/>
            </w:r>
            <w:r w:rsidR="00D17683">
              <w:rPr>
                <w:noProof/>
                <w:webHidden/>
              </w:rPr>
              <w:t>63</w:t>
            </w:r>
            <w:r w:rsidR="00D17683">
              <w:rPr>
                <w:noProof/>
                <w:webHidden/>
              </w:rPr>
              <w:fldChar w:fldCharType="end"/>
            </w:r>
          </w:hyperlink>
        </w:p>
        <w:p w14:paraId="661138F0" w14:textId="379B94FB" w:rsidR="00D17683" w:rsidRDefault="00000000">
          <w:pPr>
            <w:pStyle w:val="TOC2"/>
            <w:rPr>
              <w:rFonts w:asciiTheme="minorHAnsi" w:eastAsiaTheme="minorEastAsia" w:hAnsiTheme="minorHAnsi" w:cstheme="minorBidi"/>
              <w:noProof/>
              <w:kern w:val="2"/>
              <w14:ligatures w14:val="standardContextual"/>
            </w:rPr>
          </w:pPr>
          <w:hyperlink w:anchor="_Toc168477569"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Appeal Grounds</w:t>
            </w:r>
            <w:r w:rsidR="00D17683">
              <w:rPr>
                <w:noProof/>
                <w:webHidden/>
              </w:rPr>
              <w:tab/>
            </w:r>
            <w:r w:rsidR="00D17683">
              <w:rPr>
                <w:noProof/>
                <w:webHidden/>
              </w:rPr>
              <w:fldChar w:fldCharType="begin"/>
            </w:r>
            <w:r w:rsidR="00D17683">
              <w:rPr>
                <w:noProof/>
                <w:webHidden/>
              </w:rPr>
              <w:instrText xml:space="preserve"> PAGEREF _Toc168477569 \h </w:instrText>
            </w:r>
            <w:r w:rsidR="00D17683">
              <w:rPr>
                <w:noProof/>
                <w:webHidden/>
              </w:rPr>
            </w:r>
            <w:r w:rsidR="00D17683">
              <w:rPr>
                <w:noProof/>
                <w:webHidden/>
              </w:rPr>
              <w:fldChar w:fldCharType="separate"/>
            </w:r>
            <w:r w:rsidR="00D17683">
              <w:rPr>
                <w:noProof/>
                <w:webHidden/>
              </w:rPr>
              <w:t>63</w:t>
            </w:r>
            <w:r w:rsidR="00D17683">
              <w:rPr>
                <w:noProof/>
                <w:webHidden/>
              </w:rPr>
              <w:fldChar w:fldCharType="end"/>
            </w:r>
          </w:hyperlink>
        </w:p>
        <w:p w14:paraId="3DC2414E" w14:textId="0D8E4005" w:rsidR="00D17683" w:rsidRDefault="00000000">
          <w:pPr>
            <w:pStyle w:val="TOC2"/>
            <w:rPr>
              <w:rFonts w:asciiTheme="minorHAnsi" w:eastAsiaTheme="minorEastAsia" w:hAnsiTheme="minorHAnsi" w:cstheme="minorBidi"/>
              <w:noProof/>
              <w:kern w:val="2"/>
              <w14:ligatures w14:val="standardContextual"/>
            </w:rPr>
          </w:pPr>
          <w:hyperlink w:anchor="_Toc168477570"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Request for Appeal</w:t>
            </w:r>
            <w:r w:rsidR="00D17683">
              <w:rPr>
                <w:noProof/>
                <w:webHidden/>
              </w:rPr>
              <w:tab/>
            </w:r>
            <w:r w:rsidR="00D17683">
              <w:rPr>
                <w:noProof/>
                <w:webHidden/>
              </w:rPr>
              <w:fldChar w:fldCharType="begin"/>
            </w:r>
            <w:r w:rsidR="00D17683">
              <w:rPr>
                <w:noProof/>
                <w:webHidden/>
              </w:rPr>
              <w:instrText xml:space="preserve"> PAGEREF _Toc168477570 \h </w:instrText>
            </w:r>
            <w:r w:rsidR="00D17683">
              <w:rPr>
                <w:noProof/>
                <w:webHidden/>
              </w:rPr>
            </w:r>
            <w:r w:rsidR="00D17683">
              <w:rPr>
                <w:noProof/>
                <w:webHidden/>
              </w:rPr>
              <w:fldChar w:fldCharType="separate"/>
            </w:r>
            <w:r w:rsidR="00D17683">
              <w:rPr>
                <w:noProof/>
                <w:webHidden/>
              </w:rPr>
              <w:t>63</w:t>
            </w:r>
            <w:r w:rsidR="00D17683">
              <w:rPr>
                <w:noProof/>
                <w:webHidden/>
              </w:rPr>
              <w:fldChar w:fldCharType="end"/>
            </w:r>
          </w:hyperlink>
        </w:p>
        <w:p w14:paraId="60501950" w14:textId="52B6C7E5" w:rsidR="00D17683" w:rsidRDefault="00000000">
          <w:pPr>
            <w:pStyle w:val="TOC2"/>
            <w:rPr>
              <w:rFonts w:asciiTheme="minorHAnsi" w:eastAsiaTheme="minorEastAsia" w:hAnsiTheme="minorHAnsi" w:cstheme="minorBidi"/>
              <w:noProof/>
              <w:kern w:val="2"/>
              <w14:ligatures w14:val="standardContextual"/>
            </w:rPr>
          </w:pPr>
          <w:hyperlink w:anchor="_Toc168477571"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Appeal Determination Process</w:t>
            </w:r>
            <w:r w:rsidR="00D17683">
              <w:rPr>
                <w:noProof/>
                <w:webHidden/>
              </w:rPr>
              <w:tab/>
            </w:r>
            <w:r w:rsidR="00D17683">
              <w:rPr>
                <w:noProof/>
                <w:webHidden/>
              </w:rPr>
              <w:fldChar w:fldCharType="begin"/>
            </w:r>
            <w:r w:rsidR="00D17683">
              <w:rPr>
                <w:noProof/>
                <w:webHidden/>
              </w:rPr>
              <w:instrText xml:space="preserve"> PAGEREF _Toc168477571 \h </w:instrText>
            </w:r>
            <w:r w:rsidR="00D17683">
              <w:rPr>
                <w:noProof/>
                <w:webHidden/>
              </w:rPr>
            </w:r>
            <w:r w:rsidR="00D17683">
              <w:rPr>
                <w:noProof/>
                <w:webHidden/>
              </w:rPr>
              <w:fldChar w:fldCharType="separate"/>
            </w:r>
            <w:r w:rsidR="00D17683">
              <w:rPr>
                <w:noProof/>
                <w:webHidden/>
              </w:rPr>
              <w:t>64</w:t>
            </w:r>
            <w:r w:rsidR="00D17683">
              <w:rPr>
                <w:noProof/>
                <w:webHidden/>
              </w:rPr>
              <w:fldChar w:fldCharType="end"/>
            </w:r>
          </w:hyperlink>
        </w:p>
        <w:p w14:paraId="7BE7F2F1" w14:textId="740202D2" w:rsidR="00D17683" w:rsidRDefault="00000000">
          <w:pPr>
            <w:pStyle w:val="TOC2"/>
            <w:rPr>
              <w:rFonts w:asciiTheme="minorHAnsi" w:eastAsiaTheme="minorEastAsia" w:hAnsiTheme="minorHAnsi" w:cstheme="minorBidi"/>
              <w:noProof/>
              <w:kern w:val="2"/>
              <w14:ligatures w14:val="standardContextual"/>
            </w:rPr>
          </w:pPr>
          <w:hyperlink w:anchor="_Toc168477572" w:history="1">
            <w:r w:rsidR="00D17683" w:rsidRPr="00FF36C2">
              <w:rPr>
                <w:rStyle w:val="Hyperlink"/>
                <w:noProof/>
              </w:rPr>
              <w:t>D.</w:t>
            </w:r>
            <w:r w:rsidR="00D17683">
              <w:rPr>
                <w:rFonts w:asciiTheme="minorHAnsi" w:eastAsiaTheme="minorEastAsia" w:hAnsiTheme="minorHAnsi" w:cstheme="minorBidi"/>
                <w:noProof/>
                <w:kern w:val="2"/>
                <w14:ligatures w14:val="standardContextual"/>
              </w:rPr>
              <w:tab/>
            </w:r>
            <w:r w:rsidR="00D17683" w:rsidRPr="00FF36C2">
              <w:rPr>
                <w:rStyle w:val="Hyperlink"/>
                <w:noProof/>
              </w:rPr>
              <w:t>Appeal Outcome</w:t>
            </w:r>
            <w:r w:rsidR="00D17683">
              <w:rPr>
                <w:noProof/>
                <w:webHidden/>
              </w:rPr>
              <w:tab/>
            </w:r>
            <w:r w:rsidR="00D17683">
              <w:rPr>
                <w:noProof/>
                <w:webHidden/>
              </w:rPr>
              <w:fldChar w:fldCharType="begin"/>
            </w:r>
            <w:r w:rsidR="00D17683">
              <w:rPr>
                <w:noProof/>
                <w:webHidden/>
              </w:rPr>
              <w:instrText xml:space="preserve"> PAGEREF _Toc168477572 \h </w:instrText>
            </w:r>
            <w:r w:rsidR="00D17683">
              <w:rPr>
                <w:noProof/>
                <w:webHidden/>
              </w:rPr>
            </w:r>
            <w:r w:rsidR="00D17683">
              <w:rPr>
                <w:noProof/>
                <w:webHidden/>
              </w:rPr>
              <w:fldChar w:fldCharType="separate"/>
            </w:r>
            <w:r w:rsidR="00D17683">
              <w:rPr>
                <w:noProof/>
                <w:webHidden/>
              </w:rPr>
              <w:t>65</w:t>
            </w:r>
            <w:r w:rsidR="00D17683">
              <w:rPr>
                <w:noProof/>
                <w:webHidden/>
              </w:rPr>
              <w:fldChar w:fldCharType="end"/>
            </w:r>
          </w:hyperlink>
        </w:p>
        <w:p w14:paraId="0C600270" w14:textId="390DEAC6" w:rsidR="00D17683" w:rsidRDefault="00000000">
          <w:pPr>
            <w:pStyle w:val="TOC2"/>
            <w:rPr>
              <w:rFonts w:asciiTheme="minorHAnsi" w:eastAsiaTheme="minorEastAsia" w:hAnsiTheme="minorHAnsi" w:cstheme="minorBidi"/>
              <w:noProof/>
              <w:kern w:val="2"/>
              <w14:ligatures w14:val="standardContextual"/>
            </w:rPr>
          </w:pPr>
          <w:hyperlink w:anchor="_Toc168477573" w:history="1">
            <w:r w:rsidR="00D17683" w:rsidRPr="00FF36C2">
              <w:rPr>
                <w:rStyle w:val="Hyperlink"/>
                <w:noProof/>
              </w:rPr>
              <w:t>E.</w:t>
            </w:r>
            <w:r w:rsidR="00D17683">
              <w:rPr>
                <w:rFonts w:asciiTheme="minorHAnsi" w:eastAsiaTheme="minorEastAsia" w:hAnsiTheme="minorHAnsi" w:cstheme="minorBidi"/>
                <w:noProof/>
                <w:kern w:val="2"/>
                <w14:ligatures w14:val="standardContextual"/>
              </w:rPr>
              <w:tab/>
            </w:r>
            <w:r w:rsidR="00D17683" w:rsidRPr="00FF36C2">
              <w:rPr>
                <w:rStyle w:val="Hyperlink"/>
                <w:noProof/>
              </w:rPr>
              <w:t>Sanction Status During the Appeal</w:t>
            </w:r>
            <w:r w:rsidR="00D17683">
              <w:rPr>
                <w:noProof/>
                <w:webHidden/>
              </w:rPr>
              <w:tab/>
            </w:r>
            <w:r w:rsidR="00D17683">
              <w:rPr>
                <w:noProof/>
                <w:webHidden/>
              </w:rPr>
              <w:fldChar w:fldCharType="begin"/>
            </w:r>
            <w:r w:rsidR="00D17683">
              <w:rPr>
                <w:noProof/>
                <w:webHidden/>
              </w:rPr>
              <w:instrText xml:space="preserve"> PAGEREF _Toc168477573 \h </w:instrText>
            </w:r>
            <w:r w:rsidR="00D17683">
              <w:rPr>
                <w:noProof/>
                <w:webHidden/>
              </w:rPr>
            </w:r>
            <w:r w:rsidR="00D17683">
              <w:rPr>
                <w:noProof/>
                <w:webHidden/>
              </w:rPr>
              <w:fldChar w:fldCharType="separate"/>
            </w:r>
            <w:r w:rsidR="00D17683">
              <w:rPr>
                <w:noProof/>
                <w:webHidden/>
              </w:rPr>
              <w:t>66</w:t>
            </w:r>
            <w:r w:rsidR="00D17683">
              <w:rPr>
                <w:noProof/>
                <w:webHidden/>
              </w:rPr>
              <w:fldChar w:fldCharType="end"/>
            </w:r>
          </w:hyperlink>
        </w:p>
        <w:p w14:paraId="5A4A31F7" w14:textId="66664AB6" w:rsidR="00D17683" w:rsidRDefault="00000000">
          <w:pPr>
            <w:pStyle w:val="TOC1"/>
            <w:rPr>
              <w:rFonts w:asciiTheme="minorHAnsi" w:eastAsiaTheme="minorEastAsia" w:hAnsiTheme="minorHAnsi" w:cstheme="minorBidi"/>
              <w:noProof/>
              <w:kern w:val="2"/>
              <w14:ligatures w14:val="standardContextual"/>
            </w:rPr>
          </w:pPr>
          <w:hyperlink w:anchor="_Toc168477574" w:history="1">
            <w:r w:rsidR="00D17683" w:rsidRPr="00FF36C2">
              <w:rPr>
                <w:rStyle w:val="Hyperlink"/>
                <w:noProof/>
              </w:rPr>
              <w:t>27.</w:t>
            </w:r>
            <w:r w:rsidR="00D17683">
              <w:rPr>
                <w:rFonts w:asciiTheme="minorHAnsi" w:eastAsiaTheme="minorEastAsia" w:hAnsiTheme="minorHAnsi" w:cstheme="minorBidi"/>
                <w:noProof/>
                <w:kern w:val="2"/>
                <w14:ligatures w14:val="standardContextual"/>
              </w:rPr>
              <w:tab/>
            </w:r>
            <w:r w:rsidR="00D17683" w:rsidRPr="00FF36C2">
              <w:rPr>
                <w:rStyle w:val="Hyperlink"/>
                <w:noProof/>
              </w:rPr>
              <w:t>Long-Term Remedies/Other Actions</w:t>
            </w:r>
            <w:r w:rsidR="00D17683">
              <w:rPr>
                <w:noProof/>
                <w:webHidden/>
              </w:rPr>
              <w:tab/>
            </w:r>
            <w:r w:rsidR="00D17683">
              <w:rPr>
                <w:noProof/>
                <w:webHidden/>
              </w:rPr>
              <w:fldChar w:fldCharType="begin"/>
            </w:r>
            <w:r w:rsidR="00D17683">
              <w:rPr>
                <w:noProof/>
                <w:webHidden/>
              </w:rPr>
              <w:instrText xml:space="preserve"> PAGEREF _Toc168477574 \h </w:instrText>
            </w:r>
            <w:r w:rsidR="00D17683">
              <w:rPr>
                <w:noProof/>
                <w:webHidden/>
              </w:rPr>
            </w:r>
            <w:r w:rsidR="00D17683">
              <w:rPr>
                <w:noProof/>
                <w:webHidden/>
              </w:rPr>
              <w:fldChar w:fldCharType="separate"/>
            </w:r>
            <w:r w:rsidR="00D17683">
              <w:rPr>
                <w:noProof/>
                <w:webHidden/>
              </w:rPr>
              <w:t>66</w:t>
            </w:r>
            <w:r w:rsidR="00D17683">
              <w:rPr>
                <w:noProof/>
                <w:webHidden/>
              </w:rPr>
              <w:fldChar w:fldCharType="end"/>
            </w:r>
          </w:hyperlink>
        </w:p>
        <w:p w14:paraId="6B6BC22B" w14:textId="1D22FC05" w:rsidR="00D17683" w:rsidRDefault="00000000">
          <w:pPr>
            <w:pStyle w:val="TOC1"/>
            <w:rPr>
              <w:rFonts w:asciiTheme="minorHAnsi" w:eastAsiaTheme="minorEastAsia" w:hAnsiTheme="minorHAnsi" w:cstheme="minorBidi"/>
              <w:noProof/>
              <w:kern w:val="2"/>
              <w14:ligatures w14:val="standardContextual"/>
            </w:rPr>
          </w:pPr>
          <w:hyperlink w:anchor="_Toc168477575" w:history="1">
            <w:r w:rsidR="00D17683" w:rsidRPr="00FF36C2">
              <w:rPr>
                <w:rStyle w:val="Hyperlink"/>
                <w:noProof/>
              </w:rPr>
              <w:t>28.</w:t>
            </w:r>
            <w:r w:rsidR="00D17683">
              <w:rPr>
                <w:rFonts w:asciiTheme="minorHAnsi" w:eastAsiaTheme="minorEastAsia" w:hAnsiTheme="minorHAnsi" w:cstheme="minorBidi"/>
                <w:noProof/>
                <w:kern w:val="2"/>
                <w14:ligatures w14:val="standardContextual"/>
              </w:rPr>
              <w:tab/>
            </w:r>
            <w:r w:rsidR="00D17683" w:rsidRPr="00FF36C2">
              <w:rPr>
                <w:rStyle w:val="Hyperlink"/>
                <w:noProof/>
              </w:rPr>
              <w:t>Failure to Comply with Sanctions, Responsive Actions, and/or Informal Resolution Terms</w:t>
            </w:r>
            <w:r w:rsidR="00D17683">
              <w:rPr>
                <w:noProof/>
                <w:webHidden/>
              </w:rPr>
              <w:tab/>
            </w:r>
            <w:r w:rsidR="00D17683">
              <w:rPr>
                <w:noProof/>
                <w:webHidden/>
              </w:rPr>
              <w:fldChar w:fldCharType="begin"/>
            </w:r>
            <w:r w:rsidR="00D17683">
              <w:rPr>
                <w:noProof/>
                <w:webHidden/>
              </w:rPr>
              <w:instrText xml:space="preserve"> PAGEREF _Toc168477575 \h </w:instrText>
            </w:r>
            <w:r w:rsidR="00D17683">
              <w:rPr>
                <w:noProof/>
                <w:webHidden/>
              </w:rPr>
            </w:r>
            <w:r w:rsidR="00D17683">
              <w:rPr>
                <w:noProof/>
                <w:webHidden/>
              </w:rPr>
              <w:fldChar w:fldCharType="separate"/>
            </w:r>
            <w:r w:rsidR="00D17683">
              <w:rPr>
                <w:noProof/>
                <w:webHidden/>
              </w:rPr>
              <w:t>67</w:t>
            </w:r>
            <w:r w:rsidR="00D17683">
              <w:rPr>
                <w:noProof/>
                <w:webHidden/>
              </w:rPr>
              <w:fldChar w:fldCharType="end"/>
            </w:r>
          </w:hyperlink>
        </w:p>
        <w:p w14:paraId="2004EBFA" w14:textId="64C07F7F" w:rsidR="00D17683" w:rsidRDefault="00000000">
          <w:pPr>
            <w:pStyle w:val="TOC1"/>
            <w:rPr>
              <w:rFonts w:asciiTheme="minorHAnsi" w:eastAsiaTheme="minorEastAsia" w:hAnsiTheme="minorHAnsi" w:cstheme="minorBidi"/>
              <w:noProof/>
              <w:kern w:val="2"/>
              <w14:ligatures w14:val="standardContextual"/>
            </w:rPr>
          </w:pPr>
          <w:hyperlink w:anchor="_Toc168477576" w:history="1">
            <w:r w:rsidR="00D17683" w:rsidRPr="00FF36C2">
              <w:rPr>
                <w:rStyle w:val="Hyperlink"/>
                <w:noProof/>
              </w:rPr>
              <w:t>29.</w:t>
            </w:r>
            <w:r w:rsidR="00D17683">
              <w:rPr>
                <w:rFonts w:asciiTheme="minorHAnsi" w:eastAsiaTheme="minorEastAsia" w:hAnsiTheme="minorHAnsi" w:cstheme="minorBidi"/>
                <w:noProof/>
                <w:kern w:val="2"/>
                <w14:ligatures w14:val="standardContextual"/>
              </w:rPr>
              <w:tab/>
            </w:r>
            <w:r w:rsidR="00D17683" w:rsidRPr="00FF36C2">
              <w:rPr>
                <w:rStyle w:val="Hyperlink"/>
                <w:noProof/>
              </w:rPr>
              <w:t>Recordkeeping</w:t>
            </w:r>
            <w:r w:rsidR="00D17683">
              <w:rPr>
                <w:noProof/>
                <w:webHidden/>
              </w:rPr>
              <w:tab/>
            </w:r>
            <w:r w:rsidR="00D17683">
              <w:rPr>
                <w:noProof/>
                <w:webHidden/>
              </w:rPr>
              <w:fldChar w:fldCharType="begin"/>
            </w:r>
            <w:r w:rsidR="00D17683">
              <w:rPr>
                <w:noProof/>
                <w:webHidden/>
              </w:rPr>
              <w:instrText xml:space="preserve"> PAGEREF _Toc168477576 \h </w:instrText>
            </w:r>
            <w:r w:rsidR="00D17683">
              <w:rPr>
                <w:noProof/>
                <w:webHidden/>
              </w:rPr>
            </w:r>
            <w:r w:rsidR="00D17683">
              <w:rPr>
                <w:noProof/>
                <w:webHidden/>
              </w:rPr>
              <w:fldChar w:fldCharType="separate"/>
            </w:r>
            <w:r w:rsidR="00D17683">
              <w:rPr>
                <w:noProof/>
                <w:webHidden/>
              </w:rPr>
              <w:t>67</w:t>
            </w:r>
            <w:r w:rsidR="00D17683">
              <w:rPr>
                <w:noProof/>
                <w:webHidden/>
              </w:rPr>
              <w:fldChar w:fldCharType="end"/>
            </w:r>
          </w:hyperlink>
        </w:p>
        <w:p w14:paraId="77DD8F23" w14:textId="6A3392CA" w:rsidR="00D17683" w:rsidRDefault="00000000">
          <w:pPr>
            <w:pStyle w:val="TOC1"/>
            <w:rPr>
              <w:rFonts w:asciiTheme="minorHAnsi" w:eastAsiaTheme="minorEastAsia" w:hAnsiTheme="minorHAnsi" w:cstheme="minorBidi"/>
              <w:noProof/>
              <w:kern w:val="2"/>
              <w14:ligatures w14:val="standardContextual"/>
            </w:rPr>
          </w:pPr>
          <w:hyperlink w:anchor="_Toc168477577" w:history="1">
            <w:r w:rsidR="00D17683" w:rsidRPr="00FF36C2">
              <w:rPr>
                <w:rStyle w:val="Hyperlink"/>
                <w:noProof/>
              </w:rPr>
              <w:t>30.</w:t>
            </w:r>
            <w:r w:rsidR="00D17683">
              <w:rPr>
                <w:rFonts w:asciiTheme="minorHAnsi" w:eastAsiaTheme="minorEastAsia" w:hAnsiTheme="minorHAnsi" w:cstheme="minorBidi"/>
                <w:noProof/>
                <w:kern w:val="2"/>
                <w14:ligatures w14:val="standardContextual"/>
              </w:rPr>
              <w:tab/>
            </w:r>
            <w:r w:rsidR="00D17683" w:rsidRPr="00FF36C2">
              <w:rPr>
                <w:rStyle w:val="Hyperlink"/>
                <w:noProof/>
              </w:rPr>
              <w:t>Accommodations and Support During the Resolution Process</w:t>
            </w:r>
            <w:r w:rsidR="00D17683">
              <w:rPr>
                <w:noProof/>
                <w:webHidden/>
              </w:rPr>
              <w:tab/>
            </w:r>
            <w:r w:rsidR="00D17683">
              <w:rPr>
                <w:noProof/>
                <w:webHidden/>
              </w:rPr>
              <w:fldChar w:fldCharType="begin"/>
            </w:r>
            <w:r w:rsidR="00D17683">
              <w:rPr>
                <w:noProof/>
                <w:webHidden/>
              </w:rPr>
              <w:instrText xml:space="preserve"> PAGEREF _Toc168477577 \h </w:instrText>
            </w:r>
            <w:r w:rsidR="00D17683">
              <w:rPr>
                <w:noProof/>
                <w:webHidden/>
              </w:rPr>
            </w:r>
            <w:r w:rsidR="00D17683">
              <w:rPr>
                <w:noProof/>
                <w:webHidden/>
              </w:rPr>
              <w:fldChar w:fldCharType="separate"/>
            </w:r>
            <w:r w:rsidR="00D17683">
              <w:rPr>
                <w:noProof/>
                <w:webHidden/>
              </w:rPr>
              <w:t>68</w:t>
            </w:r>
            <w:r w:rsidR="00D17683">
              <w:rPr>
                <w:noProof/>
                <w:webHidden/>
              </w:rPr>
              <w:fldChar w:fldCharType="end"/>
            </w:r>
          </w:hyperlink>
        </w:p>
        <w:p w14:paraId="09C93033" w14:textId="7EB69CB4" w:rsidR="00D17683" w:rsidRDefault="00000000">
          <w:pPr>
            <w:pStyle w:val="TOC1"/>
            <w:rPr>
              <w:rFonts w:asciiTheme="minorHAnsi" w:eastAsiaTheme="minorEastAsia" w:hAnsiTheme="minorHAnsi" w:cstheme="minorBidi"/>
              <w:noProof/>
              <w:kern w:val="2"/>
              <w14:ligatures w14:val="standardContextual"/>
            </w:rPr>
          </w:pPr>
          <w:hyperlink w:anchor="_Toc168477578" w:history="1">
            <w:r w:rsidR="00D17683" w:rsidRPr="00FF36C2">
              <w:rPr>
                <w:rStyle w:val="Hyperlink"/>
                <w:noProof/>
              </w:rPr>
              <w:t>31.</w:t>
            </w:r>
            <w:r w:rsidR="00D17683">
              <w:rPr>
                <w:rFonts w:asciiTheme="minorHAnsi" w:eastAsiaTheme="minorEastAsia" w:hAnsiTheme="minorHAnsi" w:cstheme="minorBidi"/>
                <w:noProof/>
                <w:kern w:val="2"/>
                <w14:ligatures w14:val="standardContextual"/>
              </w:rPr>
              <w:tab/>
            </w:r>
            <w:r w:rsidR="00D17683" w:rsidRPr="00FF36C2">
              <w:rPr>
                <w:rStyle w:val="Hyperlink"/>
                <w:noProof/>
              </w:rPr>
              <w:t>Revision of these Procedures</w:t>
            </w:r>
            <w:r w:rsidR="00D17683">
              <w:rPr>
                <w:noProof/>
                <w:webHidden/>
              </w:rPr>
              <w:tab/>
            </w:r>
            <w:r w:rsidR="00D17683">
              <w:rPr>
                <w:noProof/>
                <w:webHidden/>
              </w:rPr>
              <w:fldChar w:fldCharType="begin"/>
            </w:r>
            <w:r w:rsidR="00D17683">
              <w:rPr>
                <w:noProof/>
                <w:webHidden/>
              </w:rPr>
              <w:instrText xml:space="preserve"> PAGEREF _Toc168477578 \h </w:instrText>
            </w:r>
            <w:r w:rsidR="00D17683">
              <w:rPr>
                <w:noProof/>
                <w:webHidden/>
              </w:rPr>
            </w:r>
            <w:r w:rsidR="00D17683">
              <w:rPr>
                <w:noProof/>
                <w:webHidden/>
              </w:rPr>
              <w:fldChar w:fldCharType="separate"/>
            </w:r>
            <w:r w:rsidR="00D17683">
              <w:rPr>
                <w:noProof/>
                <w:webHidden/>
              </w:rPr>
              <w:t>68</w:t>
            </w:r>
            <w:r w:rsidR="00D17683">
              <w:rPr>
                <w:noProof/>
                <w:webHidden/>
              </w:rPr>
              <w:fldChar w:fldCharType="end"/>
            </w:r>
          </w:hyperlink>
        </w:p>
        <w:p w14:paraId="064AB905" w14:textId="3A999D6F" w:rsidR="00D17683" w:rsidRDefault="00000000">
          <w:pPr>
            <w:pStyle w:val="TOC1"/>
            <w:rPr>
              <w:rFonts w:asciiTheme="minorHAnsi" w:eastAsiaTheme="minorEastAsia" w:hAnsiTheme="minorHAnsi" w:cstheme="minorBidi"/>
              <w:noProof/>
              <w:kern w:val="2"/>
              <w14:ligatures w14:val="standardContextual"/>
            </w:rPr>
          </w:pPr>
          <w:hyperlink w:anchor="_Toc168477579" w:history="1">
            <w:r w:rsidR="00D17683" w:rsidRPr="00FF36C2">
              <w:rPr>
                <w:rStyle w:val="Hyperlink"/>
                <w:noProof/>
              </w:rPr>
              <w:t>APPENDIX A: DEFINITIONS</w:t>
            </w:r>
            <w:r w:rsidR="00D17683">
              <w:rPr>
                <w:noProof/>
                <w:webHidden/>
              </w:rPr>
              <w:tab/>
            </w:r>
            <w:r w:rsidR="00D17683">
              <w:rPr>
                <w:noProof/>
                <w:webHidden/>
              </w:rPr>
              <w:fldChar w:fldCharType="begin"/>
            </w:r>
            <w:r w:rsidR="00D17683">
              <w:rPr>
                <w:noProof/>
                <w:webHidden/>
              </w:rPr>
              <w:instrText xml:space="preserve"> PAGEREF _Toc168477579 \h </w:instrText>
            </w:r>
            <w:r w:rsidR="00D17683">
              <w:rPr>
                <w:noProof/>
                <w:webHidden/>
              </w:rPr>
            </w:r>
            <w:r w:rsidR="00D17683">
              <w:rPr>
                <w:noProof/>
                <w:webHidden/>
              </w:rPr>
              <w:fldChar w:fldCharType="separate"/>
            </w:r>
            <w:r w:rsidR="00D17683">
              <w:rPr>
                <w:noProof/>
                <w:webHidden/>
              </w:rPr>
              <w:t>70</w:t>
            </w:r>
            <w:r w:rsidR="00D17683">
              <w:rPr>
                <w:noProof/>
                <w:webHidden/>
              </w:rPr>
              <w:fldChar w:fldCharType="end"/>
            </w:r>
          </w:hyperlink>
        </w:p>
        <w:p w14:paraId="7BA8B9E6" w14:textId="3726058B" w:rsidR="00D17683" w:rsidRDefault="00000000">
          <w:pPr>
            <w:pStyle w:val="TOC1"/>
            <w:rPr>
              <w:rFonts w:asciiTheme="minorHAnsi" w:eastAsiaTheme="minorEastAsia" w:hAnsiTheme="minorHAnsi" w:cstheme="minorBidi"/>
              <w:noProof/>
              <w:kern w:val="2"/>
              <w14:ligatures w14:val="standardContextual"/>
            </w:rPr>
          </w:pPr>
          <w:hyperlink w:anchor="_Toc168477580" w:history="1">
            <w:r w:rsidR="00D17683" w:rsidRPr="00FF36C2">
              <w:rPr>
                <w:rStyle w:val="Hyperlink"/>
                <w:noProof/>
              </w:rPr>
              <w:t>APPENDIX B: HEARING RESOLUTION PROCESS</w:t>
            </w:r>
            <w:r w:rsidR="00D17683">
              <w:rPr>
                <w:noProof/>
                <w:webHidden/>
              </w:rPr>
              <w:tab/>
            </w:r>
            <w:r w:rsidR="00D17683">
              <w:rPr>
                <w:noProof/>
                <w:webHidden/>
              </w:rPr>
              <w:fldChar w:fldCharType="begin"/>
            </w:r>
            <w:r w:rsidR="00D17683">
              <w:rPr>
                <w:noProof/>
                <w:webHidden/>
              </w:rPr>
              <w:instrText xml:space="preserve"> PAGEREF _Toc168477580 \h </w:instrText>
            </w:r>
            <w:r w:rsidR="00D17683">
              <w:rPr>
                <w:noProof/>
                <w:webHidden/>
              </w:rPr>
            </w:r>
            <w:r w:rsidR="00D17683">
              <w:rPr>
                <w:noProof/>
                <w:webHidden/>
              </w:rPr>
              <w:fldChar w:fldCharType="separate"/>
            </w:r>
            <w:r w:rsidR="00D17683">
              <w:rPr>
                <w:noProof/>
                <w:webHidden/>
              </w:rPr>
              <w:t>73</w:t>
            </w:r>
            <w:r w:rsidR="00D17683">
              <w:rPr>
                <w:noProof/>
                <w:webHidden/>
              </w:rPr>
              <w:fldChar w:fldCharType="end"/>
            </w:r>
          </w:hyperlink>
        </w:p>
        <w:p w14:paraId="12F09888" w14:textId="5EDFABCA" w:rsidR="00D17683" w:rsidRDefault="00000000">
          <w:pPr>
            <w:pStyle w:val="TOC1"/>
            <w:rPr>
              <w:rFonts w:asciiTheme="minorHAnsi" w:eastAsiaTheme="minorEastAsia" w:hAnsiTheme="minorHAnsi" w:cstheme="minorBidi"/>
              <w:noProof/>
              <w:kern w:val="2"/>
              <w14:ligatures w14:val="standardContextual"/>
            </w:rPr>
          </w:pPr>
          <w:hyperlink w:anchor="_Toc168477581" w:history="1">
            <w:r w:rsidR="00D17683" w:rsidRPr="00FF36C2">
              <w:rPr>
                <w:rStyle w:val="Hyperlink"/>
                <w:noProof/>
              </w:rPr>
              <w:t>1.</w:t>
            </w:r>
            <w:r w:rsidR="00D17683">
              <w:rPr>
                <w:rFonts w:asciiTheme="minorHAnsi" w:eastAsiaTheme="minorEastAsia" w:hAnsiTheme="minorHAnsi" w:cstheme="minorBidi"/>
                <w:noProof/>
                <w:kern w:val="2"/>
                <w14:ligatures w14:val="standardContextual"/>
              </w:rPr>
              <w:tab/>
            </w:r>
            <w:r w:rsidR="00D17683" w:rsidRPr="00FF36C2">
              <w:rPr>
                <w:rStyle w:val="Hyperlink"/>
                <w:noProof/>
              </w:rPr>
              <w:t>Live Hearing Requirements</w:t>
            </w:r>
            <w:r w:rsidR="00D17683">
              <w:rPr>
                <w:noProof/>
                <w:webHidden/>
              </w:rPr>
              <w:tab/>
            </w:r>
            <w:r w:rsidR="00D17683">
              <w:rPr>
                <w:noProof/>
                <w:webHidden/>
              </w:rPr>
              <w:fldChar w:fldCharType="begin"/>
            </w:r>
            <w:r w:rsidR="00D17683">
              <w:rPr>
                <w:noProof/>
                <w:webHidden/>
              </w:rPr>
              <w:instrText xml:space="preserve"> PAGEREF _Toc168477581 \h </w:instrText>
            </w:r>
            <w:r w:rsidR="00D17683">
              <w:rPr>
                <w:noProof/>
                <w:webHidden/>
              </w:rPr>
            </w:r>
            <w:r w:rsidR="00D17683">
              <w:rPr>
                <w:noProof/>
                <w:webHidden/>
              </w:rPr>
              <w:fldChar w:fldCharType="separate"/>
            </w:r>
            <w:r w:rsidR="00D17683">
              <w:rPr>
                <w:noProof/>
                <w:webHidden/>
              </w:rPr>
              <w:t>73</w:t>
            </w:r>
            <w:r w:rsidR="00D17683">
              <w:rPr>
                <w:noProof/>
                <w:webHidden/>
              </w:rPr>
              <w:fldChar w:fldCharType="end"/>
            </w:r>
          </w:hyperlink>
        </w:p>
        <w:p w14:paraId="33184324" w14:textId="40FA9F89" w:rsidR="00D17683" w:rsidRDefault="00000000">
          <w:pPr>
            <w:pStyle w:val="TOC1"/>
            <w:rPr>
              <w:rFonts w:asciiTheme="minorHAnsi" w:eastAsiaTheme="minorEastAsia" w:hAnsiTheme="minorHAnsi" w:cstheme="minorBidi"/>
              <w:noProof/>
              <w:kern w:val="2"/>
              <w14:ligatures w14:val="standardContextual"/>
            </w:rPr>
          </w:pPr>
          <w:hyperlink w:anchor="_Toc168477582" w:history="1">
            <w:r w:rsidR="00D17683" w:rsidRPr="00FF36C2">
              <w:rPr>
                <w:rStyle w:val="Hyperlink"/>
                <w:noProof/>
              </w:rPr>
              <w:t>2.</w:t>
            </w:r>
            <w:r w:rsidR="00D17683">
              <w:rPr>
                <w:rFonts w:asciiTheme="minorHAnsi" w:eastAsiaTheme="minorEastAsia" w:hAnsiTheme="minorHAnsi" w:cstheme="minorBidi"/>
                <w:noProof/>
                <w:kern w:val="2"/>
                <w14:ligatures w14:val="standardContextual"/>
              </w:rPr>
              <w:tab/>
            </w:r>
            <w:r w:rsidR="00D17683" w:rsidRPr="00FF36C2">
              <w:rPr>
                <w:rStyle w:val="Hyperlink"/>
                <w:noProof/>
              </w:rPr>
              <w:t>Hearing Notice</w:t>
            </w:r>
            <w:r w:rsidR="00D17683">
              <w:rPr>
                <w:noProof/>
                <w:webHidden/>
              </w:rPr>
              <w:tab/>
            </w:r>
            <w:r w:rsidR="00D17683">
              <w:rPr>
                <w:noProof/>
                <w:webHidden/>
              </w:rPr>
              <w:fldChar w:fldCharType="begin"/>
            </w:r>
            <w:r w:rsidR="00D17683">
              <w:rPr>
                <w:noProof/>
                <w:webHidden/>
              </w:rPr>
              <w:instrText xml:space="preserve"> PAGEREF _Toc168477582 \h </w:instrText>
            </w:r>
            <w:r w:rsidR="00D17683">
              <w:rPr>
                <w:noProof/>
                <w:webHidden/>
              </w:rPr>
            </w:r>
            <w:r w:rsidR="00D17683">
              <w:rPr>
                <w:noProof/>
                <w:webHidden/>
              </w:rPr>
              <w:fldChar w:fldCharType="separate"/>
            </w:r>
            <w:r w:rsidR="00D17683">
              <w:rPr>
                <w:noProof/>
                <w:webHidden/>
              </w:rPr>
              <w:t>75</w:t>
            </w:r>
            <w:r w:rsidR="00D17683">
              <w:rPr>
                <w:noProof/>
                <w:webHidden/>
              </w:rPr>
              <w:fldChar w:fldCharType="end"/>
            </w:r>
          </w:hyperlink>
        </w:p>
        <w:p w14:paraId="44D49C96" w14:textId="0ABA08D8" w:rsidR="00D17683" w:rsidRDefault="00000000">
          <w:pPr>
            <w:pStyle w:val="TOC1"/>
            <w:rPr>
              <w:rFonts w:asciiTheme="minorHAnsi" w:eastAsiaTheme="minorEastAsia" w:hAnsiTheme="minorHAnsi" w:cstheme="minorBidi"/>
              <w:noProof/>
              <w:kern w:val="2"/>
              <w14:ligatures w14:val="standardContextual"/>
            </w:rPr>
          </w:pPr>
          <w:hyperlink w:anchor="_Toc168477583" w:history="1">
            <w:r w:rsidR="00D17683" w:rsidRPr="00FF36C2">
              <w:rPr>
                <w:rStyle w:val="Hyperlink"/>
                <w:noProof/>
              </w:rPr>
              <w:t>3.</w:t>
            </w:r>
            <w:r w:rsidR="00D17683">
              <w:rPr>
                <w:rFonts w:asciiTheme="minorHAnsi" w:eastAsiaTheme="minorEastAsia" w:hAnsiTheme="minorHAnsi" w:cstheme="minorBidi"/>
                <w:noProof/>
                <w:kern w:val="2"/>
                <w14:ligatures w14:val="standardContextual"/>
              </w:rPr>
              <w:tab/>
            </w:r>
            <w:r w:rsidR="00D17683" w:rsidRPr="00FF36C2">
              <w:rPr>
                <w:rStyle w:val="Hyperlink"/>
                <w:noProof/>
              </w:rPr>
              <w:t>Witness Participation</w:t>
            </w:r>
            <w:r w:rsidR="00D17683">
              <w:rPr>
                <w:noProof/>
                <w:webHidden/>
              </w:rPr>
              <w:tab/>
            </w:r>
            <w:r w:rsidR="00D17683">
              <w:rPr>
                <w:noProof/>
                <w:webHidden/>
              </w:rPr>
              <w:fldChar w:fldCharType="begin"/>
            </w:r>
            <w:r w:rsidR="00D17683">
              <w:rPr>
                <w:noProof/>
                <w:webHidden/>
              </w:rPr>
              <w:instrText xml:space="preserve"> PAGEREF _Toc168477583 \h </w:instrText>
            </w:r>
            <w:r w:rsidR="00D17683">
              <w:rPr>
                <w:noProof/>
                <w:webHidden/>
              </w:rPr>
            </w:r>
            <w:r w:rsidR="00D17683">
              <w:rPr>
                <w:noProof/>
                <w:webHidden/>
              </w:rPr>
              <w:fldChar w:fldCharType="separate"/>
            </w:r>
            <w:r w:rsidR="00D17683">
              <w:rPr>
                <w:noProof/>
                <w:webHidden/>
              </w:rPr>
              <w:t>75</w:t>
            </w:r>
            <w:r w:rsidR="00D17683">
              <w:rPr>
                <w:noProof/>
                <w:webHidden/>
              </w:rPr>
              <w:fldChar w:fldCharType="end"/>
            </w:r>
          </w:hyperlink>
        </w:p>
        <w:p w14:paraId="2B87FE89" w14:textId="55B1F840" w:rsidR="00D17683" w:rsidRDefault="00000000">
          <w:pPr>
            <w:pStyle w:val="TOC1"/>
            <w:rPr>
              <w:rFonts w:asciiTheme="minorHAnsi" w:eastAsiaTheme="minorEastAsia" w:hAnsiTheme="minorHAnsi" w:cstheme="minorBidi"/>
              <w:noProof/>
              <w:kern w:val="2"/>
              <w14:ligatures w14:val="standardContextual"/>
            </w:rPr>
          </w:pPr>
          <w:hyperlink w:anchor="_Toc168477584" w:history="1">
            <w:r w:rsidR="00D17683" w:rsidRPr="00FF36C2">
              <w:rPr>
                <w:rStyle w:val="Hyperlink"/>
                <w:noProof/>
              </w:rPr>
              <w:t>4.</w:t>
            </w:r>
            <w:r w:rsidR="00D17683">
              <w:rPr>
                <w:rFonts w:asciiTheme="minorHAnsi" w:eastAsiaTheme="minorEastAsia" w:hAnsiTheme="minorHAnsi" w:cstheme="minorBidi"/>
                <w:noProof/>
                <w:kern w:val="2"/>
                <w14:ligatures w14:val="standardContextual"/>
              </w:rPr>
              <w:tab/>
            </w:r>
            <w:r w:rsidR="00D17683" w:rsidRPr="00FF36C2">
              <w:rPr>
                <w:rStyle w:val="Hyperlink"/>
                <w:noProof/>
              </w:rPr>
              <w:t>Pre-Hearing Meetings</w:t>
            </w:r>
            <w:r w:rsidR="00D17683">
              <w:rPr>
                <w:noProof/>
                <w:webHidden/>
              </w:rPr>
              <w:tab/>
            </w:r>
            <w:r w:rsidR="00D17683">
              <w:rPr>
                <w:noProof/>
                <w:webHidden/>
              </w:rPr>
              <w:fldChar w:fldCharType="begin"/>
            </w:r>
            <w:r w:rsidR="00D17683">
              <w:rPr>
                <w:noProof/>
                <w:webHidden/>
              </w:rPr>
              <w:instrText xml:space="preserve"> PAGEREF _Toc168477584 \h </w:instrText>
            </w:r>
            <w:r w:rsidR="00D17683">
              <w:rPr>
                <w:noProof/>
                <w:webHidden/>
              </w:rPr>
            </w:r>
            <w:r w:rsidR="00D17683">
              <w:rPr>
                <w:noProof/>
                <w:webHidden/>
              </w:rPr>
              <w:fldChar w:fldCharType="separate"/>
            </w:r>
            <w:r w:rsidR="00D17683">
              <w:rPr>
                <w:noProof/>
                <w:webHidden/>
              </w:rPr>
              <w:t>76</w:t>
            </w:r>
            <w:r w:rsidR="00D17683">
              <w:rPr>
                <w:noProof/>
                <w:webHidden/>
              </w:rPr>
              <w:fldChar w:fldCharType="end"/>
            </w:r>
          </w:hyperlink>
        </w:p>
        <w:p w14:paraId="1B3C91A8" w14:textId="1B4E29C4" w:rsidR="00D17683" w:rsidRDefault="00000000">
          <w:pPr>
            <w:pStyle w:val="TOC1"/>
            <w:rPr>
              <w:rFonts w:asciiTheme="minorHAnsi" w:eastAsiaTheme="minorEastAsia" w:hAnsiTheme="minorHAnsi" w:cstheme="minorBidi"/>
              <w:noProof/>
              <w:kern w:val="2"/>
              <w14:ligatures w14:val="standardContextual"/>
            </w:rPr>
          </w:pPr>
          <w:hyperlink w:anchor="_Toc168477585" w:history="1">
            <w:r w:rsidR="00D17683" w:rsidRPr="00FF36C2">
              <w:rPr>
                <w:rStyle w:val="Hyperlink"/>
                <w:noProof/>
              </w:rPr>
              <w:t>5.</w:t>
            </w:r>
            <w:r w:rsidR="00D17683">
              <w:rPr>
                <w:rFonts w:asciiTheme="minorHAnsi" w:eastAsiaTheme="minorEastAsia" w:hAnsiTheme="minorHAnsi" w:cstheme="minorBidi"/>
                <w:noProof/>
                <w:kern w:val="2"/>
                <w14:ligatures w14:val="standardContextual"/>
              </w:rPr>
              <w:tab/>
            </w:r>
            <w:r w:rsidR="00D17683" w:rsidRPr="00FF36C2">
              <w:rPr>
                <w:rStyle w:val="Hyperlink"/>
                <w:noProof/>
              </w:rPr>
              <w:t>Hearing Procedures</w:t>
            </w:r>
            <w:r w:rsidR="00D17683">
              <w:rPr>
                <w:noProof/>
                <w:webHidden/>
              </w:rPr>
              <w:tab/>
            </w:r>
            <w:r w:rsidR="00D17683">
              <w:rPr>
                <w:noProof/>
                <w:webHidden/>
              </w:rPr>
              <w:fldChar w:fldCharType="begin"/>
            </w:r>
            <w:r w:rsidR="00D17683">
              <w:rPr>
                <w:noProof/>
                <w:webHidden/>
              </w:rPr>
              <w:instrText xml:space="preserve"> PAGEREF _Toc168477585 \h </w:instrText>
            </w:r>
            <w:r w:rsidR="00D17683">
              <w:rPr>
                <w:noProof/>
                <w:webHidden/>
              </w:rPr>
            </w:r>
            <w:r w:rsidR="00D17683">
              <w:rPr>
                <w:noProof/>
                <w:webHidden/>
              </w:rPr>
              <w:fldChar w:fldCharType="separate"/>
            </w:r>
            <w:r w:rsidR="00D17683">
              <w:rPr>
                <w:noProof/>
                <w:webHidden/>
              </w:rPr>
              <w:t>77</w:t>
            </w:r>
            <w:r w:rsidR="00D17683">
              <w:rPr>
                <w:noProof/>
                <w:webHidden/>
              </w:rPr>
              <w:fldChar w:fldCharType="end"/>
            </w:r>
          </w:hyperlink>
        </w:p>
        <w:p w14:paraId="7DACA33C" w14:textId="00D52B5F" w:rsidR="00D17683" w:rsidRDefault="00000000">
          <w:pPr>
            <w:pStyle w:val="TOC2"/>
            <w:rPr>
              <w:rFonts w:asciiTheme="minorHAnsi" w:eastAsiaTheme="minorEastAsia" w:hAnsiTheme="minorHAnsi" w:cstheme="minorBidi"/>
              <w:noProof/>
              <w:kern w:val="2"/>
              <w14:ligatures w14:val="standardContextual"/>
            </w:rPr>
          </w:pPr>
          <w:hyperlink w:anchor="_Toc168477586" w:history="1">
            <w:r w:rsidR="00D17683" w:rsidRPr="00FF36C2">
              <w:rPr>
                <w:rStyle w:val="Hyperlink"/>
                <w:noProof/>
              </w:rPr>
              <w:t>A.</w:t>
            </w:r>
            <w:r w:rsidR="00D17683">
              <w:rPr>
                <w:rFonts w:asciiTheme="minorHAnsi" w:eastAsiaTheme="minorEastAsia" w:hAnsiTheme="minorHAnsi" w:cstheme="minorBidi"/>
                <w:noProof/>
                <w:kern w:val="2"/>
                <w14:ligatures w14:val="standardContextual"/>
              </w:rPr>
              <w:tab/>
            </w:r>
            <w:r w:rsidR="00D17683" w:rsidRPr="00FF36C2">
              <w:rPr>
                <w:rStyle w:val="Hyperlink"/>
                <w:noProof/>
              </w:rPr>
              <w:t>Evidentiary Considerations</w:t>
            </w:r>
            <w:r w:rsidR="00D17683">
              <w:rPr>
                <w:noProof/>
                <w:webHidden/>
              </w:rPr>
              <w:tab/>
            </w:r>
            <w:r w:rsidR="00D17683">
              <w:rPr>
                <w:noProof/>
                <w:webHidden/>
              </w:rPr>
              <w:fldChar w:fldCharType="begin"/>
            </w:r>
            <w:r w:rsidR="00D17683">
              <w:rPr>
                <w:noProof/>
                <w:webHidden/>
              </w:rPr>
              <w:instrText xml:space="preserve"> PAGEREF _Toc168477586 \h </w:instrText>
            </w:r>
            <w:r w:rsidR="00D17683">
              <w:rPr>
                <w:noProof/>
                <w:webHidden/>
              </w:rPr>
            </w:r>
            <w:r w:rsidR="00D17683">
              <w:rPr>
                <w:noProof/>
                <w:webHidden/>
              </w:rPr>
              <w:fldChar w:fldCharType="separate"/>
            </w:r>
            <w:r w:rsidR="00D17683">
              <w:rPr>
                <w:noProof/>
                <w:webHidden/>
              </w:rPr>
              <w:t>77</w:t>
            </w:r>
            <w:r w:rsidR="00D17683">
              <w:rPr>
                <w:noProof/>
                <w:webHidden/>
              </w:rPr>
              <w:fldChar w:fldCharType="end"/>
            </w:r>
          </w:hyperlink>
        </w:p>
        <w:p w14:paraId="62FF2064" w14:textId="6D51673B" w:rsidR="00D17683" w:rsidRDefault="00000000">
          <w:pPr>
            <w:pStyle w:val="TOC2"/>
            <w:rPr>
              <w:rFonts w:asciiTheme="minorHAnsi" w:eastAsiaTheme="minorEastAsia" w:hAnsiTheme="minorHAnsi" w:cstheme="minorBidi"/>
              <w:noProof/>
              <w:kern w:val="2"/>
              <w14:ligatures w14:val="standardContextual"/>
            </w:rPr>
          </w:pPr>
          <w:hyperlink w:anchor="_Toc168477587" w:history="1">
            <w:r w:rsidR="00D17683" w:rsidRPr="00FF36C2">
              <w:rPr>
                <w:rStyle w:val="Hyperlink"/>
                <w:noProof/>
              </w:rPr>
              <w:t>B.</w:t>
            </w:r>
            <w:r w:rsidR="00D17683">
              <w:rPr>
                <w:rFonts w:asciiTheme="minorHAnsi" w:eastAsiaTheme="minorEastAsia" w:hAnsiTheme="minorHAnsi" w:cstheme="minorBidi"/>
                <w:noProof/>
                <w:kern w:val="2"/>
                <w14:ligatures w14:val="standardContextual"/>
              </w:rPr>
              <w:tab/>
            </w:r>
            <w:r w:rsidR="00D17683" w:rsidRPr="00FF36C2">
              <w:rPr>
                <w:rStyle w:val="Hyperlink"/>
                <w:noProof/>
              </w:rPr>
              <w:t>Collateral Misconduct</w:t>
            </w:r>
            <w:r w:rsidR="00D17683">
              <w:rPr>
                <w:noProof/>
                <w:webHidden/>
              </w:rPr>
              <w:tab/>
            </w:r>
            <w:r w:rsidR="00D17683">
              <w:rPr>
                <w:noProof/>
                <w:webHidden/>
              </w:rPr>
              <w:fldChar w:fldCharType="begin"/>
            </w:r>
            <w:r w:rsidR="00D17683">
              <w:rPr>
                <w:noProof/>
                <w:webHidden/>
              </w:rPr>
              <w:instrText xml:space="preserve"> PAGEREF _Toc168477587 \h </w:instrText>
            </w:r>
            <w:r w:rsidR="00D17683">
              <w:rPr>
                <w:noProof/>
                <w:webHidden/>
              </w:rPr>
            </w:r>
            <w:r w:rsidR="00D17683">
              <w:rPr>
                <w:noProof/>
                <w:webHidden/>
              </w:rPr>
              <w:fldChar w:fldCharType="separate"/>
            </w:r>
            <w:r w:rsidR="00D17683">
              <w:rPr>
                <w:noProof/>
                <w:webHidden/>
              </w:rPr>
              <w:t>78</w:t>
            </w:r>
            <w:r w:rsidR="00D17683">
              <w:rPr>
                <w:noProof/>
                <w:webHidden/>
              </w:rPr>
              <w:fldChar w:fldCharType="end"/>
            </w:r>
          </w:hyperlink>
        </w:p>
        <w:p w14:paraId="708A963C" w14:textId="1405F471" w:rsidR="00D17683" w:rsidRDefault="00000000">
          <w:pPr>
            <w:pStyle w:val="TOC2"/>
            <w:rPr>
              <w:rFonts w:asciiTheme="minorHAnsi" w:eastAsiaTheme="minorEastAsia" w:hAnsiTheme="minorHAnsi" w:cstheme="minorBidi"/>
              <w:noProof/>
              <w:kern w:val="2"/>
              <w14:ligatures w14:val="standardContextual"/>
            </w:rPr>
          </w:pPr>
          <w:hyperlink w:anchor="_Toc168477588" w:history="1">
            <w:r w:rsidR="00D17683" w:rsidRPr="00FF36C2">
              <w:rPr>
                <w:rStyle w:val="Hyperlink"/>
                <w:noProof/>
              </w:rPr>
              <w:t>C.</w:t>
            </w:r>
            <w:r w:rsidR="00D17683">
              <w:rPr>
                <w:rFonts w:asciiTheme="minorHAnsi" w:eastAsiaTheme="minorEastAsia" w:hAnsiTheme="minorHAnsi" w:cstheme="minorBidi"/>
                <w:noProof/>
                <w:kern w:val="2"/>
                <w14:ligatures w14:val="standardContextual"/>
              </w:rPr>
              <w:tab/>
            </w:r>
            <w:r w:rsidR="00D17683" w:rsidRPr="00FF36C2">
              <w:rPr>
                <w:rStyle w:val="Hyperlink"/>
                <w:noProof/>
              </w:rPr>
              <w:t>Joint Hearings</w:t>
            </w:r>
            <w:r w:rsidR="00D17683">
              <w:rPr>
                <w:noProof/>
                <w:webHidden/>
              </w:rPr>
              <w:tab/>
            </w:r>
            <w:r w:rsidR="00D17683">
              <w:rPr>
                <w:noProof/>
                <w:webHidden/>
              </w:rPr>
              <w:fldChar w:fldCharType="begin"/>
            </w:r>
            <w:r w:rsidR="00D17683">
              <w:rPr>
                <w:noProof/>
                <w:webHidden/>
              </w:rPr>
              <w:instrText xml:space="preserve"> PAGEREF _Toc168477588 \h </w:instrText>
            </w:r>
            <w:r w:rsidR="00D17683">
              <w:rPr>
                <w:noProof/>
                <w:webHidden/>
              </w:rPr>
            </w:r>
            <w:r w:rsidR="00D17683">
              <w:rPr>
                <w:noProof/>
                <w:webHidden/>
              </w:rPr>
              <w:fldChar w:fldCharType="separate"/>
            </w:r>
            <w:r w:rsidR="00D17683">
              <w:rPr>
                <w:noProof/>
                <w:webHidden/>
              </w:rPr>
              <w:t>78</w:t>
            </w:r>
            <w:r w:rsidR="00D17683">
              <w:rPr>
                <w:noProof/>
                <w:webHidden/>
              </w:rPr>
              <w:fldChar w:fldCharType="end"/>
            </w:r>
          </w:hyperlink>
        </w:p>
        <w:p w14:paraId="0FB269F2" w14:textId="0F747BF0" w:rsidR="00D17683" w:rsidRDefault="00000000">
          <w:pPr>
            <w:pStyle w:val="TOC2"/>
            <w:rPr>
              <w:rFonts w:asciiTheme="minorHAnsi" w:eastAsiaTheme="minorEastAsia" w:hAnsiTheme="minorHAnsi" w:cstheme="minorBidi"/>
              <w:noProof/>
              <w:kern w:val="2"/>
              <w14:ligatures w14:val="standardContextual"/>
            </w:rPr>
          </w:pPr>
          <w:hyperlink w:anchor="_Toc168477589" w:history="1">
            <w:r w:rsidR="00D17683" w:rsidRPr="00FF36C2">
              <w:rPr>
                <w:rStyle w:val="Hyperlink"/>
                <w:noProof/>
              </w:rPr>
              <w:t>D.</w:t>
            </w:r>
            <w:r w:rsidR="00D17683">
              <w:rPr>
                <w:rFonts w:asciiTheme="minorHAnsi" w:eastAsiaTheme="minorEastAsia" w:hAnsiTheme="minorHAnsi" w:cstheme="minorBidi"/>
                <w:noProof/>
                <w:kern w:val="2"/>
                <w14:ligatures w14:val="standardContextual"/>
              </w:rPr>
              <w:tab/>
            </w:r>
            <w:r w:rsidR="00D17683" w:rsidRPr="00FF36C2">
              <w:rPr>
                <w:rStyle w:val="Hyperlink"/>
                <w:noProof/>
              </w:rPr>
              <w:t>Introductions and Hearing Procedure Explanation</w:t>
            </w:r>
            <w:r w:rsidR="00D17683">
              <w:rPr>
                <w:noProof/>
                <w:webHidden/>
              </w:rPr>
              <w:tab/>
            </w:r>
            <w:r w:rsidR="00D17683">
              <w:rPr>
                <w:noProof/>
                <w:webHidden/>
              </w:rPr>
              <w:fldChar w:fldCharType="begin"/>
            </w:r>
            <w:r w:rsidR="00D17683">
              <w:rPr>
                <w:noProof/>
                <w:webHidden/>
              </w:rPr>
              <w:instrText xml:space="preserve"> PAGEREF _Toc168477589 \h </w:instrText>
            </w:r>
            <w:r w:rsidR="00D17683">
              <w:rPr>
                <w:noProof/>
                <w:webHidden/>
              </w:rPr>
            </w:r>
            <w:r w:rsidR="00D17683">
              <w:rPr>
                <w:noProof/>
                <w:webHidden/>
              </w:rPr>
              <w:fldChar w:fldCharType="separate"/>
            </w:r>
            <w:r w:rsidR="00D17683">
              <w:rPr>
                <w:noProof/>
                <w:webHidden/>
              </w:rPr>
              <w:t>78</w:t>
            </w:r>
            <w:r w:rsidR="00D17683">
              <w:rPr>
                <w:noProof/>
                <w:webHidden/>
              </w:rPr>
              <w:fldChar w:fldCharType="end"/>
            </w:r>
          </w:hyperlink>
        </w:p>
        <w:p w14:paraId="4A971CFD" w14:textId="371ECC9F" w:rsidR="00D17683" w:rsidRDefault="00000000">
          <w:pPr>
            <w:pStyle w:val="TOC2"/>
            <w:rPr>
              <w:rFonts w:asciiTheme="minorHAnsi" w:eastAsiaTheme="minorEastAsia" w:hAnsiTheme="minorHAnsi" w:cstheme="minorBidi"/>
              <w:noProof/>
              <w:kern w:val="2"/>
              <w14:ligatures w14:val="standardContextual"/>
            </w:rPr>
          </w:pPr>
          <w:hyperlink w:anchor="_Toc168477590" w:history="1">
            <w:r w:rsidR="00D17683" w:rsidRPr="00FF36C2">
              <w:rPr>
                <w:rStyle w:val="Hyperlink"/>
                <w:noProof/>
              </w:rPr>
              <w:t>E.</w:t>
            </w:r>
            <w:r w:rsidR="00D17683">
              <w:rPr>
                <w:rFonts w:asciiTheme="minorHAnsi" w:eastAsiaTheme="minorEastAsia" w:hAnsiTheme="minorHAnsi" w:cstheme="minorBidi"/>
                <w:noProof/>
                <w:kern w:val="2"/>
                <w14:ligatures w14:val="standardContextual"/>
              </w:rPr>
              <w:tab/>
            </w:r>
            <w:r w:rsidR="00D17683" w:rsidRPr="00FF36C2">
              <w:rPr>
                <w:rStyle w:val="Hyperlink"/>
                <w:noProof/>
              </w:rPr>
              <w:t>Investigator Presentation of Final Investigation Report</w:t>
            </w:r>
            <w:r w:rsidR="00D17683">
              <w:rPr>
                <w:noProof/>
                <w:webHidden/>
              </w:rPr>
              <w:tab/>
            </w:r>
            <w:r w:rsidR="00D17683">
              <w:rPr>
                <w:noProof/>
                <w:webHidden/>
              </w:rPr>
              <w:fldChar w:fldCharType="begin"/>
            </w:r>
            <w:r w:rsidR="00D17683">
              <w:rPr>
                <w:noProof/>
                <w:webHidden/>
              </w:rPr>
              <w:instrText xml:space="preserve"> PAGEREF _Toc168477590 \h </w:instrText>
            </w:r>
            <w:r w:rsidR="00D17683">
              <w:rPr>
                <w:noProof/>
                <w:webHidden/>
              </w:rPr>
            </w:r>
            <w:r w:rsidR="00D17683">
              <w:rPr>
                <w:noProof/>
                <w:webHidden/>
              </w:rPr>
              <w:fldChar w:fldCharType="separate"/>
            </w:r>
            <w:r w:rsidR="00D17683">
              <w:rPr>
                <w:noProof/>
                <w:webHidden/>
              </w:rPr>
              <w:t>78</w:t>
            </w:r>
            <w:r w:rsidR="00D17683">
              <w:rPr>
                <w:noProof/>
                <w:webHidden/>
              </w:rPr>
              <w:fldChar w:fldCharType="end"/>
            </w:r>
          </w:hyperlink>
        </w:p>
        <w:p w14:paraId="223FF8F8" w14:textId="4E08547B" w:rsidR="00D17683" w:rsidRDefault="00000000">
          <w:pPr>
            <w:pStyle w:val="TOC2"/>
            <w:rPr>
              <w:rFonts w:asciiTheme="minorHAnsi" w:eastAsiaTheme="minorEastAsia" w:hAnsiTheme="minorHAnsi" w:cstheme="minorBidi"/>
              <w:noProof/>
              <w:kern w:val="2"/>
              <w14:ligatures w14:val="standardContextual"/>
            </w:rPr>
          </w:pPr>
          <w:hyperlink w:anchor="_Toc168477591" w:history="1">
            <w:r w:rsidR="00D17683" w:rsidRPr="00FF36C2">
              <w:rPr>
                <w:rStyle w:val="Hyperlink"/>
                <w:noProof/>
              </w:rPr>
              <w:t>F.</w:t>
            </w:r>
            <w:r w:rsidR="00D17683">
              <w:rPr>
                <w:rFonts w:asciiTheme="minorHAnsi" w:eastAsiaTheme="minorEastAsia" w:hAnsiTheme="minorHAnsi" w:cstheme="minorBidi"/>
                <w:noProof/>
                <w:kern w:val="2"/>
                <w14:ligatures w14:val="standardContextual"/>
              </w:rPr>
              <w:tab/>
            </w:r>
            <w:r w:rsidR="00D17683" w:rsidRPr="00FF36C2">
              <w:rPr>
                <w:rStyle w:val="Hyperlink"/>
                <w:noProof/>
              </w:rPr>
              <w:t>Testimony and Questioning</w:t>
            </w:r>
            <w:r w:rsidR="00D17683">
              <w:rPr>
                <w:noProof/>
                <w:webHidden/>
              </w:rPr>
              <w:tab/>
            </w:r>
            <w:r w:rsidR="00D17683">
              <w:rPr>
                <w:noProof/>
                <w:webHidden/>
              </w:rPr>
              <w:fldChar w:fldCharType="begin"/>
            </w:r>
            <w:r w:rsidR="00D17683">
              <w:rPr>
                <w:noProof/>
                <w:webHidden/>
              </w:rPr>
              <w:instrText xml:space="preserve"> PAGEREF _Toc168477591 \h </w:instrText>
            </w:r>
            <w:r w:rsidR="00D17683">
              <w:rPr>
                <w:noProof/>
                <w:webHidden/>
              </w:rPr>
            </w:r>
            <w:r w:rsidR="00D17683">
              <w:rPr>
                <w:noProof/>
                <w:webHidden/>
              </w:rPr>
              <w:fldChar w:fldCharType="separate"/>
            </w:r>
            <w:r w:rsidR="00D17683">
              <w:rPr>
                <w:noProof/>
                <w:webHidden/>
              </w:rPr>
              <w:t>78</w:t>
            </w:r>
            <w:r w:rsidR="00D17683">
              <w:rPr>
                <w:noProof/>
                <w:webHidden/>
              </w:rPr>
              <w:fldChar w:fldCharType="end"/>
            </w:r>
          </w:hyperlink>
        </w:p>
        <w:p w14:paraId="0B3EFA85" w14:textId="745C458F" w:rsidR="00D17683" w:rsidRDefault="00000000">
          <w:pPr>
            <w:pStyle w:val="TOC2"/>
            <w:rPr>
              <w:rFonts w:asciiTheme="minorHAnsi" w:eastAsiaTheme="minorEastAsia" w:hAnsiTheme="minorHAnsi" w:cstheme="minorBidi"/>
              <w:noProof/>
              <w:kern w:val="2"/>
              <w14:ligatures w14:val="standardContextual"/>
            </w:rPr>
          </w:pPr>
          <w:hyperlink w:anchor="_Toc168477592" w:history="1">
            <w:r w:rsidR="00D17683" w:rsidRPr="00FF36C2">
              <w:rPr>
                <w:rStyle w:val="Hyperlink"/>
                <w:noProof/>
              </w:rPr>
              <w:t>G.</w:t>
            </w:r>
            <w:r w:rsidR="00D17683">
              <w:rPr>
                <w:rFonts w:asciiTheme="minorHAnsi" w:eastAsiaTheme="minorEastAsia" w:hAnsiTheme="minorHAnsi" w:cstheme="minorBidi"/>
                <w:noProof/>
                <w:kern w:val="2"/>
                <w14:ligatures w14:val="standardContextual"/>
              </w:rPr>
              <w:tab/>
            </w:r>
            <w:r w:rsidR="00D17683" w:rsidRPr="00FF36C2">
              <w:rPr>
                <w:rStyle w:val="Hyperlink"/>
                <w:noProof/>
              </w:rPr>
              <w:t>Refusal to Submit to Questioning and Inferences</w:t>
            </w:r>
            <w:r w:rsidR="00D17683">
              <w:rPr>
                <w:noProof/>
                <w:webHidden/>
              </w:rPr>
              <w:tab/>
            </w:r>
            <w:r w:rsidR="00D17683">
              <w:rPr>
                <w:noProof/>
                <w:webHidden/>
              </w:rPr>
              <w:fldChar w:fldCharType="begin"/>
            </w:r>
            <w:r w:rsidR="00D17683">
              <w:rPr>
                <w:noProof/>
                <w:webHidden/>
              </w:rPr>
              <w:instrText xml:space="preserve"> PAGEREF _Toc168477592 \h </w:instrText>
            </w:r>
            <w:r w:rsidR="00D17683">
              <w:rPr>
                <w:noProof/>
                <w:webHidden/>
              </w:rPr>
            </w:r>
            <w:r w:rsidR="00D17683">
              <w:rPr>
                <w:noProof/>
                <w:webHidden/>
              </w:rPr>
              <w:fldChar w:fldCharType="separate"/>
            </w:r>
            <w:r w:rsidR="00D17683">
              <w:rPr>
                <w:noProof/>
                <w:webHidden/>
              </w:rPr>
              <w:t>79</w:t>
            </w:r>
            <w:r w:rsidR="00D17683">
              <w:rPr>
                <w:noProof/>
                <w:webHidden/>
              </w:rPr>
              <w:fldChar w:fldCharType="end"/>
            </w:r>
          </w:hyperlink>
        </w:p>
        <w:p w14:paraId="0A1D6B2E" w14:textId="0D084B88" w:rsidR="00D17683" w:rsidRDefault="00000000">
          <w:pPr>
            <w:pStyle w:val="TOC2"/>
            <w:rPr>
              <w:rFonts w:asciiTheme="minorHAnsi" w:eastAsiaTheme="minorEastAsia" w:hAnsiTheme="minorHAnsi" w:cstheme="minorBidi"/>
              <w:noProof/>
              <w:kern w:val="2"/>
              <w14:ligatures w14:val="standardContextual"/>
            </w:rPr>
          </w:pPr>
          <w:hyperlink w:anchor="_Toc168477593" w:history="1">
            <w:r w:rsidR="00D17683" w:rsidRPr="00FF36C2">
              <w:rPr>
                <w:rStyle w:val="Hyperlink"/>
                <w:noProof/>
              </w:rPr>
              <w:t>H.</w:t>
            </w:r>
            <w:r w:rsidR="00D17683">
              <w:rPr>
                <w:rFonts w:asciiTheme="minorHAnsi" w:eastAsiaTheme="minorEastAsia" w:hAnsiTheme="minorHAnsi" w:cstheme="minorBidi"/>
                <w:noProof/>
                <w:kern w:val="2"/>
                <w14:ligatures w14:val="standardContextual"/>
              </w:rPr>
              <w:tab/>
            </w:r>
            <w:r w:rsidR="00D17683" w:rsidRPr="00FF36C2">
              <w:rPr>
                <w:rStyle w:val="Hyperlink"/>
                <w:noProof/>
              </w:rPr>
              <w:t>Hearing Recordings</w:t>
            </w:r>
            <w:r w:rsidR="00D17683">
              <w:rPr>
                <w:noProof/>
                <w:webHidden/>
              </w:rPr>
              <w:tab/>
            </w:r>
            <w:r w:rsidR="00D17683">
              <w:rPr>
                <w:noProof/>
                <w:webHidden/>
              </w:rPr>
              <w:fldChar w:fldCharType="begin"/>
            </w:r>
            <w:r w:rsidR="00D17683">
              <w:rPr>
                <w:noProof/>
                <w:webHidden/>
              </w:rPr>
              <w:instrText xml:space="preserve"> PAGEREF _Toc168477593 \h </w:instrText>
            </w:r>
            <w:r w:rsidR="00D17683">
              <w:rPr>
                <w:noProof/>
                <w:webHidden/>
              </w:rPr>
            </w:r>
            <w:r w:rsidR="00D17683">
              <w:rPr>
                <w:noProof/>
                <w:webHidden/>
              </w:rPr>
              <w:fldChar w:fldCharType="separate"/>
            </w:r>
            <w:r w:rsidR="00D17683">
              <w:rPr>
                <w:noProof/>
                <w:webHidden/>
              </w:rPr>
              <w:t>80</w:t>
            </w:r>
            <w:r w:rsidR="00D17683">
              <w:rPr>
                <w:noProof/>
                <w:webHidden/>
              </w:rPr>
              <w:fldChar w:fldCharType="end"/>
            </w:r>
          </w:hyperlink>
        </w:p>
        <w:p w14:paraId="25A5734B" w14:textId="22720DCA" w:rsidR="00D17683" w:rsidRDefault="00000000">
          <w:pPr>
            <w:pStyle w:val="TOC1"/>
            <w:rPr>
              <w:rFonts w:asciiTheme="minorHAnsi" w:eastAsiaTheme="minorEastAsia" w:hAnsiTheme="minorHAnsi" w:cstheme="minorBidi"/>
              <w:noProof/>
              <w:kern w:val="2"/>
              <w14:ligatures w14:val="standardContextual"/>
            </w:rPr>
          </w:pPr>
          <w:hyperlink w:anchor="_Toc168477594" w:history="1">
            <w:r w:rsidR="00D17683" w:rsidRPr="00FF36C2">
              <w:rPr>
                <w:rStyle w:val="Hyperlink"/>
                <w:noProof/>
              </w:rPr>
              <w:t>6.</w:t>
            </w:r>
            <w:r w:rsidR="00D17683">
              <w:rPr>
                <w:rFonts w:asciiTheme="minorHAnsi" w:eastAsiaTheme="minorEastAsia" w:hAnsiTheme="minorHAnsi" w:cstheme="minorBidi"/>
                <w:noProof/>
                <w:kern w:val="2"/>
                <w14:ligatures w14:val="standardContextual"/>
              </w:rPr>
              <w:tab/>
            </w:r>
            <w:r w:rsidR="00D17683" w:rsidRPr="00FF36C2">
              <w:rPr>
                <w:rStyle w:val="Hyperlink"/>
                <w:noProof/>
              </w:rPr>
              <w:t>Deliberation and Determination</w:t>
            </w:r>
            <w:r w:rsidR="00D17683">
              <w:rPr>
                <w:noProof/>
                <w:webHidden/>
              </w:rPr>
              <w:tab/>
            </w:r>
            <w:r w:rsidR="00D17683">
              <w:rPr>
                <w:noProof/>
                <w:webHidden/>
              </w:rPr>
              <w:fldChar w:fldCharType="begin"/>
            </w:r>
            <w:r w:rsidR="00D17683">
              <w:rPr>
                <w:noProof/>
                <w:webHidden/>
              </w:rPr>
              <w:instrText xml:space="preserve"> PAGEREF _Toc168477594 \h </w:instrText>
            </w:r>
            <w:r w:rsidR="00D17683">
              <w:rPr>
                <w:noProof/>
                <w:webHidden/>
              </w:rPr>
            </w:r>
            <w:r w:rsidR="00D17683">
              <w:rPr>
                <w:noProof/>
                <w:webHidden/>
              </w:rPr>
              <w:fldChar w:fldCharType="separate"/>
            </w:r>
            <w:r w:rsidR="00D17683">
              <w:rPr>
                <w:noProof/>
                <w:webHidden/>
              </w:rPr>
              <w:t>80</w:t>
            </w:r>
            <w:r w:rsidR="00D17683">
              <w:rPr>
                <w:noProof/>
                <w:webHidden/>
              </w:rPr>
              <w:fldChar w:fldCharType="end"/>
            </w:r>
          </w:hyperlink>
        </w:p>
        <w:p w14:paraId="5744C4D5" w14:textId="49453DEC" w:rsidR="00D17683" w:rsidRDefault="00000000">
          <w:pPr>
            <w:pStyle w:val="TOC1"/>
            <w:rPr>
              <w:rFonts w:asciiTheme="minorHAnsi" w:eastAsiaTheme="minorEastAsia" w:hAnsiTheme="minorHAnsi" w:cstheme="minorBidi"/>
              <w:noProof/>
              <w:kern w:val="2"/>
              <w14:ligatures w14:val="standardContextual"/>
            </w:rPr>
          </w:pPr>
          <w:hyperlink w:anchor="_Toc168477595" w:history="1">
            <w:r w:rsidR="00D17683" w:rsidRPr="00FF36C2">
              <w:rPr>
                <w:rStyle w:val="Hyperlink"/>
                <w:noProof/>
              </w:rPr>
              <w:t>APPENDIX C: ATIXA’S INFORMAL RESOLUTION (IR) FRAMEWORK</w:t>
            </w:r>
            <w:r w:rsidR="00D17683">
              <w:rPr>
                <w:noProof/>
                <w:webHidden/>
              </w:rPr>
              <w:tab/>
            </w:r>
            <w:r w:rsidR="00D17683">
              <w:rPr>
                <w:noProof/>
                <w:webHidden/>
              </w:rPr>
              <w:fldChar w:fldCharType="begin"/>
            </w:r>
            <w:r w:rsidR="00D17683">
              <w:rPr>
                <w:noProof/>
                <w:webHidden/>
              </w:rPr>
              <w:instrText xml:space="preserve"> PAGEREF _Toc168477595 \h </w:instrText>
            </w:r>
            <w:r w:rsidR="00D17683">
              <w:rPr>
                <w:noProof/>
                <w:webHidden/>
              </w:rPr>
            </w:r>
            <w:r w:rsidR="00D17683">
              <w:rPr>
                <w:noProof/>
                <w:webHidden/>
              </w:rPr>
              <w:fldChar w:fldCharType="separate"/>
            </w:r>
            <w:r w:rsidR="00D17683">
              <w:rPr>
                <w:noProof/>
                <w:webHidden/>
              </w:rPr>
              <w:t>81</w:t>
            </w:r>
            <w:r w:rsidR="00D17683">
              <w:rPr>
                <w:noProof/>
                <w:webHidden/>
              </w:rPr>
              <w:fldChar w:fldCharType="end"/>
            </w:r>
          </w:hyperlink>
        </w:p>
        <w:p w14:paraId="04400F40" w14:textId="1FB2C6BB" w:rsidR="00D17683" w:rsidRDefault="00000000">
          <w:pPr>
            <w:pStyle w:val="TOC1"/>
            <w:rPr>
              <w:rFonts w:asciiTheme="minorHAnsi" w:eastAsiaTheme="minorEastAsia" w:hAnsiTheme="minorHAnsi" w:cstheme="minorBidi"/>
              <w:noProof/>
              <w:kern w:val="2"/>
              <w14:ligatures w14:val="standardContextual"/>
            </w:rPr>
          </w:pPr>
          <w:hyperlink w:anchor="_Toc168477596" w:history="1">
            <w:r w:rsidR="00D17683" w:rsidRPr="00FF36C2">
              <w:rPr>
                <w:rStyle w:val="Hyperlink"/>
                <w:noProof/>
              </w:rPr>
              <w:t>APPENDIX D: STATEMENT OF THE PARTIES’ RIGHTS</w:t>
            </w:r>
            <w:r w:rsidR="00D17683">
              <w:rPr>
                <w:noProof/>
                <w:webHidden/>
              </w:rPr>
              <w:tab/>
            </w:r>
            <w:r w:rsidR="00D17683">
              <w:rPr>
                <w:noProof/>
                <w:webHidden/>
              </w:rPr>
              <w:fldChar w:fldCharType="begin"/>
            </w:r>
            <w:r w:rsidR="00D17683">
              <w:rPr>
                <w:noProof/>
                <w:webHidden/>
              </w:rPr>
              <w:instrText xml:space="preserve"> PAGEREF _Toc168477596 \h </w:instrText>
            </w:r>
            <w:r w:rsidR="00D17683">
              <w:rPr>
                <w:noProof/>
                <w:webHidden/>
              </w:rPr>
            </w:r>
            <w:r w:rsidR="00D17683">
              <w:rPr>
                <w:noProof/>
                <w:webHidden/>
              </w:rPr>
              <w:fldChar w:fldCharType="separate"/>
            </w:r>
            <w:r w:rsidR="00D17683">
              <w:rPr>
                <w:noProof/>
                <w:webHidden/>
              </w:rPr>
              <w:t>84</w:t>
            </w:r>
            <w:r w:rsidR="00D17683">
              <w:rPr>
                <w:noProof/>
                <w:webHidden/>
              </w:rPr>
              <w:fldChar w:fldCharType="end"/>
            </w:r>
          </w:hyperlink>
        </w:p>
        <w:p w14:paraId="2895C4FF" w14:textId="1EB1F677" w:rsidR="00D17683" w:rsidRDefault="00000000">
          <w:pPr>
            <w:pStyle w:val="TOC1"/>
            <w:rPr>
              <w:rFonts w:asciiTheme="minorHAnsi" w:eastAsiaTheme="minorEastAsia" w:hAnsiTheme="minorHAnsi" w:cstheme="minorBidi"/>
              <w:noProof/>
              <w:kern w:val="2"/>
              <w14:ligatures w14:val="standardContextual"/>
            </w:rPr>
          </w:pPr>
          <w:hyperlink w:anchor="_Toc168477597" w:history="1">
            <w:r w:rsidR="00D17683" w:rsidRPr="00FF36C2">
              <w:rPr>
                <w:rStyle w:val="Hyperlink"/>
                <w:noProof/>
              </w:rPr>
              <w:t>APPENDIX E: PRIVACY, PRIVILEGE, AND CONFIDENTIALITY</w:t>
            </w:r>
            <w:r w:rsidR="00D17683">
              <w:rPr>
                <w:noProof/>
                <w:webHidden/>
              </w:rPr>
              <w:tab/>
            </w:r>
            <w:r w:rsidR="00D17683">
              <w:rPr>
                <w:noProof/>
                <w:webHidden/>
              </w:rPr>
              <w:fldChar w:fldCharType="begin"/>
            </w:r>
            <w:r w:rsidR="00D17683">
              <w:rPr>
                <w:noProof/>
                <w:webHidden/>
              </w:rPr>
              <w:instrText xml:space="preserve"> PAGEREF _Toc168477597 \h </w:instrText>
            </w:r>
            <w:r w:rsidR="00D17683">
              <w:rPr>
                <w:noProof/>
                <w:webHidden/>
              </w:rPr>
            </w:r>
            <w:r w:rsidR="00D17683">
              <w:rPr>
                <w:noProof/>
                <w:webHidden/>
              </w:rPr>
              <w:fldChar w:fldCharType="separate"/>
            </w:r>
            <w:r w:rsidR="00D17683">
              <w:rPr>
                <w:noProof/>
                <w:webHidden/>
              </w:rPr>
              <w:t>87</w:t>
            </w:r>
            <w:r w:rsidR="00D17683">
              <w:rPr>
                <w:noProof/>
                <w:webHidden/>
              </w:rPr>
              <w:fldChar w:fldCharType="end"/>
            </w:r>
          </w:hyperlink>
        </w:p>
        <w:p w14:paraId="14B32DB3" w14:textId="6B68ACA8" w:rsidR="00D17683" w:rsidRDefault="00000000">
          <w:pPr>
            <w:pStyle w:val="TOC1"/>
            <w:rPr>
              <w:rFonts w:asciiTheme="minorHAnsi" w:eastAsiaTheme="minorEastAsia" w:hAnsiTheme="minorHAnsi" w:cstheme="minorBidi"/>
              <w:noProof/>
              <w:kern w:val="2"/>
              <w14:ligatures w14:val="standardContextual"/>
            </w:rPr>
          </w:pPr>
          <w:hyperlink w:anchor="_Toc168477598" w:history="1">
            <w:r w:rsidR="00D17683" w:rsidRPr="00FF36C2">
              <w:rPr>
                <w:rStyle w:val="Hyperlink"/>
                <w:noProof/>
              </w:rPr>
              <w:t>APPENDIX F: UNETHICAL RELATIONSHIPS MODEL POLICY</w:t>
            </w:r>
            <w:r w:rsidR="00D17683">
              <w:rPr>
                <w:noProof/>
                <w:webHidden/>
              </w:rPr>
              <w:tab/>
            </w:r>
            <w:r w:rsidR="00D17683">
              <w:rPr>
                <w:noProof/>
                <w:webHidden/>
              </w:rPr>
              <w:fldChar w:fldCharType="begin"/>
            </w:r>
            <w:r w:rsidR="00D17683">
              <w:rPr>
                <w:noProof/>
                <w:webHidden/>
              </w:rPr>
              <w:instrText xml:space="preserve"> PAGEREF _Toc168477598 \h </w:instrText>
            </w:r>
            <w:r w:rsidR="00D17683">
              <w:rPr>
                <w:noProof/>
                <w:webHidden/>
              </w:rPr>
            </w:r>
            <w:r w:rsidR="00D17683">
              <w:rPr>
                <w:noProof/>
                <w:webHidden/>
              </w:rPr>
              <w:fldChar w:fldCharType="separate"/>
            </w:r>
            <w:r w:rsidR="00D17683">
              <w:rPr>
                <w:noProof/>
                <w:webHidden/>
              </w:rPr>
              <w:t>89</w:t>
            </w:r>
            <w:r w:rsidR="00D17683">
              <w:rPr>
                <w:noProof/>
                <w:webHidden/>
              </w:rPr>
              <w:fldChar w:fldCharType="end"/>
            </w:r>
          </w:hyperlink>
        </w:p>
        <w:p w14:paraId="38ECF54F" w14:textId="115100F3" w:rsidR="00D17683" w:rsidRDefault="00000000">
          <w:pPr>
            <w:pStyle w:val="TOC1"/>
            <w:rPr>
              <w:rFonts w:asciiTheme="minorHAnsi" w:eastAsiaTheme="minorEastAsia" w:hAnsiTheme="minorHAnsi" w:cstheme="minorBidi"/>
              <w:noProof/>
              <w:kern w:val="2"/>
              <w14:ligatures w14:val="standardContextual"/>
            </w:rPr>
          </w:pPr>
          <w:hyperlink w:anchor="_Toc168477599" w:history="1">
            <w:r w:rsidR="00D17683" w:rsidRPr="00FF36C2">
              <w:rPr>
                <w:rStyle w:val="Hyperlink"/>
                <w:noProof/>
              </w:rPr>
              <w:t>APPENDIX G: VIOLENCE RISK ASSESSMENT (VRA)</w:t>
            </w:r>
            <w:r w:rsidR="00D17683">
              <w:rPr>
                <w:noProof/>
                <w:webHidden/>
              </w:rPr>
              <w:tab/>
            </w:r>
            <w:r w:rsidR="00D17683">
              <w:rPr>
                <w:noProof/>
                <w:webHidden/>
              </w:rPr>
              <w:fldChar w:fldCharType="begin"/>
            </w:r>
            <w:r w:rsidR="00D17683">
              <w:rPr>
                <w:noProof/>
                <w:webHidden/>
              </w:rPr>
              <w:instrText xml:space="preserve"> PAGEREF _Toc168477599 \h </w:instrText>
            </w:r>
            <w:r w:rsidR="00D17683">
              <w:rPr>
                <w:noProof/>
                <w:webHidden/>
              </w:rPr>
            </w:r>
            <w:r w:rsidR="00D17683">
              <w:rPr>
                <w:noProof/>
                <w:webHidden/>
              </w:rPr>
              <w:fldChar w:fldCharType="separate"/>
            </w:r>
            <w:r w:rsidR="00D17683">
              <w:rPr>
                <w:noProof/>
                <w:webHidden/>
              </w:rPr>
              <w:t>90</w:t>
            </w:r>
            <w:r w:rsidR="00D17683">
              <w:rPr>
                <w:noProof/>
                <w:webHidden/>
              </w:rPr>
              <w:fldChar w:fldCharType="end"/>
            </w:r>
          </w:hyperlink>
        </w:p>
        <w:p w14:paraId="758BA3E6" w14:textId="70E69292" w:rsidR="00D17683" w:rsidRDefault="00000000">
          <w:pPr>
            <w:pStyle w:val="TOC1"/>
            <w:rPr>
              <w:rFonts w:asciiTheme="minorHAnsi" w:eastAsiaTheme="minorEastAsia" w:hAnsiTheme="minorHAnsi" w:cstheme="minorBidi"/>
              <w:noProof/>
              <w:kern w:val="2"/>
              <w14:ligatures w14:val="standardContextual"/>
            </w:rPr>
          </w:pPr>
          <w:hyperlink w:anchor="_Toc168477600" w:history="1">
            <w:r w:rsidR="00D17683" w:rsidRPr="00FF36C2">
              <w:rPr>
                <w:rStyle w:val="Hyperlink"/>
                <w:noProof/>
              </w:rPr>
              <w:t>APPENDIX H: TITLE IX POLICY STATEMENT SAMPLE TEMPLATE</w:t>
            </w:r>
            <w:r w:rsidR="00D17683">
              <w:rPr>
                <w:noProof/>
                <w:webHidden/>
              </w:rPr>
              <w:tab/>
            </w:r>
            <w:r w:rsidR="00D17683">
              <w:rPr>
                <w:noProof/>
                <w:webHidden/>
              </w:rPr>
              <w:fldChar w:fldCharType="begin"/>
            </w:r>
            <w:r w:rsidR="00D17683">
              <w:rPr>
                <w:noProof/>
                <w:webHidden/>
              </w:rPr>
              <w:instrText xml:space="preserve"> PAGEREF _Toc168477600 \h </w:instrText>
            </w:r>
            <w:r w:rsidR="00D17683">
              <w:rPr>
                <w:noProof/>
                <w:webHidden/>
              </w:rPr>
            </w:r>
            <w:r w:rsidR="00D17683">
              <w:rPr>
                <w:noProof/>
                <w:webHidden/>
              </w:rPr>
              <w:fldChar w:fldCharType="separate"/>
            </w:r>
            <w:r w:rsidR="00D17683">
              <w:rPr>
                <w:noProof/>
                <w:webHidden/>
              </w:rPr>
              <w:t>92</w:t>
            </w:r>
            <w:r w:rsidR="00D17683">
              <w:rPr>
                <w:noProof/>
                <w:webHidden/>
              </w:rPr>
              <w:fldChar w:fldCharType="end"/>
            </w:r>
          </w:hyperlink>
        </w:p>
        <w:p w14:paraId="091BA458" w14:textId="7DDFF606" w:rsidR="00D17683" w:rsidRDefault="00000000">
          <w:pPr>
            <w:pStyle w:val="TOC1"/>
            <w:rPr>
              <w:rFonts w:asciiTheme="minorHAnsi" w:eastAsiaTheme="minorEastAsia" w:hAnsiTheme="minorHAnsi" w:cstheme="minorBidi"/>
              <w:noProof/>
              <w:kern w:val="2"/>
              <w14:ligatures w14:val="standardContextual"/>
            </w:rPr>
          </w:pPr>
          <w:hyperlink w:anchor="_Toc168477601" w:history="1">
            <w:r w:rsidR="00D17683" w:rsidRPr="00FF36C2">
              <w:rPr>
                <w:rStyle w:val="Hyperlink"/>
                <w:noProof/>
              </w:rPr>
              <w:t>APPENDIX I: ATIXA RECORD MAINTENANCE AND ACCESS MODEL POLICY</w:t>
            </w:r>
            <w:r w:rsidR="00D17683">
              <w:rPr>
                <w:noProof/>
                <w:webHidden/>
              </w:rPr>
              <w:tab/>
            </w:r>
            <w:r w:rsidR="00D17683">
              <w:rPr>
                <w:noProof/>
                <w:webHidden/>
              </w:rPr>
              <w:fldChar w:fldCharType="begin"/>
            </w:r>
            <w:r w:rsidR="00D17683">
              <w:rPr>
                <w:noProof/>
                <w:webHidden/>
              </w:rPr>
              <w:instrText xml:space="preserve"> PAGEREF _Toc168477601 \h </w:instrText>
            </w:r>
            <w:r w:rsidR="00D17683">
              <w:rPr>
                <w:noProof/>
                <w:webHidden/>
              </w:rPr>
            </w:r>
            <w:r w:rsidR="00D17683">
              <w:rPr>
                <w:noProof/>
                <w:webHidden/>
              </w:rPr>
              <w:fldChar w:fldCharType="separate"/>
            </w:r>
            <w:r w:rsidR="00D17683">
              <w:rPr>
                <w:noProof/>
                <w:webHidden/>
              </w:rPr>
              <w:t>94</w:t>
            </w:r>
            <w:r w:rsidR="00D17683">
              <w:rPr>
                <w:noProof/>
                <w:webHidden/>
              </w:rPr>
              <w:fldChar w:fldCharType="end"/>
            </w:r>
          </w:hyperlink>
        </w:p>
        <w:p w14:paraId="047C8C21" w14:textId="659C651E" w:rsidR="00D17683" w:rsidRDefault="00000000">
          <w:pPr>
            <w:pStyle w:val="TOC2"/>
            <w:rPr>
              <w:rFonts w:asciiTheme="minorHAnsi" w:eastAsiaTheme="minorEastAsia" w:hAnsiTheme="minorHAnsi" w:cstheme="minorBidi"/>
              <w:noProof/>
              <w:kern w:val="2"/>
              <w14:ligatures w14:val="standardContextual"/>
            </w:rPr>
          </w:pPr>
          <w:hyperlink w:anchor="_Toc168477602" w:history="1">
            <w:r w:rsidR="00D17683" w:rsidRPr="00FF36C2">
              <w:rPr>
                <w:rStyle w:val="Hyperlink"/>
                <w:noProof/>
              </w:rPr>
              <w:t>APPENDIX J: TRAINING FOR MEMBERS OF THE RESOLUTION PROCESS POOL</w:t>
            </w:r>
            <w:r w:rsidR="00D17683">
              <w:rPr>
                <w:noProof/>
                <w:webHidden/>
              </w:rPr>
              <w:tab/>
            </w:r>
            <w:r w:rsidR="00D17683">
              <w:rPr>
                <w:noProof/>
                <w:webHidden/>
              </w:rPr>
              <w:fldChar w:fldCharType="begin"/>
            </w:r>
            <w:r w:rsidR="00D17683">
              <w:rPr>
                <w:noProof/>
                <w:webHidden/>
              </w:rPr>
              <w:instrText xml:space="preserve"> PAGEREF _Toc168477602 \h </w:instrText>
            </w:r>
            <w:r w:rsidR="00D17683">
              <w:rPr>
                <w:noProof/>
                <w:webHidden/>
              </w:rPr>
            </w:r>
            <w:r w:rsidR="00D17683">
              <w:rPr>
                <w:noProof/>
                <w:webHidden/>
              </w:rPr>
              <w:fldChar w:fldCharType="separate"/>
            </w:r>
            <w:r w:rsidR="00D17683">
              <w:rPr>
                <w:noProof/>
                <w:webHidden/>
              </w:rPr>
              <w:t>97</w:t>
            </w:r>
            <w:r w:rsidR="00D17683">
              <w:rPr>
                <w:noProof/>
                <w:webHidden/>
              </w:rPr>
              <w:fldChar w:fldCharType="end"/>
            </w:r>
          </w:hyperlink>
        </w:p>
        <w:p w14:paraId="39187E65" w14:textId="401AD970" w:rsidR="00D17683" w:rsidRDefault="00000000">
          <w:pPr>
            <w:pStyle w:val="TOC1"/>
            <w:rPr>
              <w:rFonts w:asciiTheme="minorHAnsi" w:eastAsiaTheme="minorEastAsia" w:hAnsiTheme="minorHAnsi" w:cstheme="minorBidi"/>
              <w:noProof/>
              <w:kern w:val="2"/>
              <w14:ligatures w14:val="standardContextual"/>
            </w:rPr>
          </w:pPr>
          <w:hyperlink w:anchor="_Toc168477603" w:history="1">
            <w:r w:rsidR="00D17683" w:rsidRPr="00FF36C2">
              <w:rPr>
                <w:rStyle w:val="Hyperlink"/>
                <w:noProof/>
              </w:rPr>
              <w:t>ATIXA’s One Policy, One Procedure (1P1P) Model Customization and Implementation Guide</w:t>
            </w:r>
            <w:r w:rsidR="00D17683">
              <w:rPr>
                <w:noProof/>
                <w:webHidden/>
              </w:rPr>
              <w:tab/>
            </w:r>
            <w:r w:rsidR="00D17683">
              <w:rPr>
                <w:noProof/>
                <w:webHidden/>
              </w:rPr>
              <w:fldChar w:fldCharType="begin"/>
            </w:r>
            <w:r w:rsidR="00D17683">
              <w:rPr>
                <w:noProof/>
                <w:webHidden/>
              </w:rPr>
              <w:instrText xml:space="preserve"> PAGEREF _Toc168477603 \h </w:instrText>
            </w:r>
            <w:r w:rsidR="00D17683">
              <w:rPr>
                <w:noProof/>
                <w:webHidden/>
              </w:rPr>
            </w:r>
            <w:r w:rsidR="00D17683">
              <w:rPr>
                <w:noProof/>
                <w:webHidden/>
              </w:rPr>
              <w:fldChar w:fldCharType="separate"/>
            </w:r>
            <w:r w:rsidR="00D17683">
              <w:rPr>
                <w:noProof/>
                <w:webHidden/>
              </w:rPr>
              <w:t>99</w:t>
            </w:r>
            <w:r w:rsidR="00D17683">
              <w:rPr>
                <w:noProof/>
                <w:webHidden/>
              </w:rPr>
              <w:fldChar w:fldCharType="end"/>
            </w:r>
          </w:hyperlink>
        </w:p>
        <w:p w14:paraId="32F1D24B" w14:textId="7BB5A934" w:rsidR="001379AF" w:rsidRDefault="001379AF">
          <w:r>
            <w:rPr>
              <w:b/>
              <w:bCs/>
              <w:noProof/>
            </w:rPr>
            <w:fldChar w:fldCharType="end"/>
          </w:r>
        </w:p>
      </w:sdtContent>
    </w:sdt>
    <w:p w14:paraId="6F063FDA" w14:textId="599A6573" w:rsidR="00DC7135" w:rsidRDefault="00DC7135">
      <w:pPr>
        <w:spacing w:after="160" w:line="259" w:lineRule="auto"/>
      </w:pPr>
      <w:r>
        <w:br w:type="page"/>
      </w:r>
    </w:p>
    <w:p w14:paraId="18DB2673" w14:textId="1AA9614B" w:rsidR="002671E6" w:rsidRDefault="001A1F77" w:rsidP="00963DF3">
      <w:pPr>
        <w:jc w:val="center"/>
        <w:rPr>
          <w:rFonts w:asciiTheme="minorHAnsi" w:hAnsiTheme="minorHAnsi" w:cstheme="minorHAnsi"/>
          <w:b/>
          <w:bCs/>
          <w:color w:val="000000"/>
        </w:rPr>
      </w:pPr>
      <w:r>
        <w:rPr>
          <w:rFonts w:cs="Calibri"/>
          <w:b/>
          <w:bCs/>
          <w:highlight w:val="lightGray"/>
        </w:rPr>
        <w:lastRenderedPageBreak/>
        <w:t xml:space="preserve">[FORMAL INSTITUTION NAME] </w:t>
      </w:r>
      <w:r w:rsidR="00CA2C40" w:rsidRPr="00B51C3B">
        <w:rPr>
          <w:rFonts w:cs="Calibri"/>
          <w:b/>
          <w:bCs/>
          <w:highlight w:val="lightGray"/>
        </w:rPr>
        <w:t>EQUAL OPPORTUNITY, HARASSMENT, AND NONDISCRIMINATION</w:t>
      </w:r>
      <w:r w:rsidR="004A1A46" w:rsidRPr="00B51C3B">
        <w:rPr>
          <w:rFonts w:cs="Calibri"/>
          <w:b/>
          <w:bCs/>
          <w:highlight w:val="lightGray"/>
        </w:rPr>
        <w:t xml:space="preserve"> POLICY</w:t>
      </w:r>
      <w:r w:rsidR="00FF3055">
        <w:rPr>
          <w:rFonts w:cs="Calibri"/>
          <w:b/>
          <w:bCs/>
        </w:rPr>
        <w:t xml:space="preserve"> </w:t>
      </w:r>
      <w:r w:rsidR="00FF3055" w:rsidRPr="00F46D04">
        <w:rPr>
          <w:rFonts w:asciiTheme="minorHAnsi" w:hAnsiTheme="minorHAnsi" w:cstheme="minorHAnsi"/>
          <w:b/>
          <w:bCs/>
          <w:color w:val="000000"/>
        </w:rPr>
        <w:t>FOR ALL FACULTY, STUDENTS, EMPLOYEES, AND THIRD PARTIES</w:t>
      </w:r>
      <w:r w:rsidR="009E3753">
        <w:rPr>
          <w:rFonts w:asciiTheme="minorHAnsi" w:hAnsiTheme="minorHAnsi" w:cstheme="minorHAnsi"/>
          <w:b/>
          <w:bCs/>
          <w:color w:val="000000"/>
        </w:rPr>
        <w:t xml:space="preserve"> (Hereinafter, “the Policy”)</w:t>
      </w:r>
    </w:p>
    <w:p w14:paraId="5A720089" w14:textId="77777777" w:rsidR="00963DF3" w:rsidRPr="00ED3CAB" w:rsidRDefault="00963DF3" w:rsidP="00ED3CAB">
      <w:pPr>
        <w:jc w:val="center"/>
        <w:rPr>
          <w:rFonts w:asciiTheme="minorHAnsi" w:hAnsiTheme="minorHAnsi" w:cstheme="minorHAnsi"/>
          <w:b/>
          <w:bCs/>
          <w:color w:val="000000"/>
        </w:rPr>
      </w:pPr>
    </w:p>
    <w:p w14:paraId="3D2CBDDE" w14:textId="49576B12" w:rsidR="00F46D04" w:rsidRDefault="00860148" w:rsidP="00021C70">
      <w:pPr>
        <w:pStyle w:val="Heading1"/>
      </w:pPr>
      <w:bookmarkStart w:id="0" w:name="_Toc168477491"/>
      <w:r>
        <w:t>Purpose</w:t>
      </w:r>
      <w:bookmarkEnd w:id="0"/>
    </w:p>
    <w:p w14:paraId="62077FAA" w14:textId="07424393" w:rsidR="00E01283" w:rsidRDefault="00E01283" w:rsidP="00E01283"/>
    <w:p w14:paraId="237F3383" w14:textId="779A5114" w:rsidR="007609A7" w:rsidRDefault="007609A7" w:rsidP="007609A7">
      <w:proofErr w:type="gramStart"/>
      <w:r w:rsidRPr="007609A7">
        <w:rPr>
          <w:highlight w:val="lightGray"/>
        </w:rPr>
        <w:t>Recipient</w:t>
      </w:r>
      <w:r>
        <w:t xml:space="preserve"> is</w:t>
      </w:r>
      <w:proofErr w:type="gramEnd"/>
      <w:r>
        <w:t xml:space="preserve"> committed to providing </w:t>
      </w:r>
      <w:r w:rsidR="00860148">
        <w:t xml:space="preserve">an </w:t>
      </w:r>
      <w:r>
        <w:t xml:space="preserve">educational </w:t>
      </w:r>
      <w:r w:rsidR="00860148">
        <w:t xml:space="preserve">and employment </w:t>
      </w:r>
      <w:r>
        <w:t>environment</w:t>
      </w:r>
      <w:r w:rsidR="00860148">
        <w:t xml:space="preserve"> </w:t>
      </w:r>
      <w:r>
        <w:t xml:space="preserve">that </w:t>
      </w:r>
      <w:r w:rsidR="00860148">
        <w:t xml:space="preserve">is </w:t>
      </w:r>
      <w:r>
        <w:t>free from discrimination</w:t>
      </w:r>
      <w:r w:rsidR="001A1F77" w:rsidRPr="001A1F77">
        <w:t xml:space="preserve"> </w:t>
      </w:r>
      <w:r w:rsidR="001A1F77">
        <w:t>based on protected characteristics</w:t>
      </w:r>
      <w:r w:rsidR="00860148">
        <w:t>,</w:t>
      </w:r>
      <w:r>
        <w:t xml:space="preserve"> harassment</w:t>
      </w:r>
      <w:r w:rsidR="00860148">
        <w:t>, and retaliation</w:t>
      </w:r>
      <w:r w:rsidR="001A1F77">
        <w:t xml:space="preserve"> f</w:t>
      </w:r>
      <w:r w:rsidR="00166D91">
        <w:t>or</w:t>
      </w:r>
      <w:r>
        <w:t xml:space="preserve"> engaging in protected activity. </w:t>
      </w:r>
    </w:p>
    <w:p w14:paraId="61E7E8A7" w14:textId="77777777" w:rsidR="007609A7" w:rsidRDefault="007609A7" w:rsidP="007609A7"/>
    <w:p w14:paraId="18D53420" w14:textId="76255430" w:rsidR="007609A7" w:rsidRDefault="007609A7" w:rsidP="007609A7">
      <w:r w:rsidRPr="007609A7">
        <w:rPr>
          <w:highlight w:val="lightGray"/>
        </w:rPr>
        <w:t>Recipient</w:t>
      </w:r>
      <w:r>
        <w:t xml:space="preserve"> values and upholds the equal dignity of all members of its community and strives to balance the rights of the </w:t>
      </w:r>
      <w:r w:rsidR="0028631C">
        <w:t>Parties</w:t>
      </w:r>
      <w:r>
        <w:t xml:space="preserve"> in the </w:t>
      </w:r>
      <w:r w:rsidR="00B51C3B">
        <w:t xml:space="preserve">resolution </w:t>
      </w:r>
      <w:r>
        <w:t xml:space="preserve">process during what is often a difficult time for all involved. </w:t>
      </w:r>
    </w:p>
    <w:p w14:paraId="5FA9E55C" w14:textId="77777777" w:rsidR="000D6228" w:rsidRDefault="000D6228" w:rsidP="007609A7"/>
    <w:p w14:paraId="14271DCB" w14:textId="7D62D278" w:rsidR="007609A7" w:rsidRDefault="007609A7" w:rsidP="007609A7">
      <w:r>
        <w:t xml:space="preserve">To ensure compliance with federal, state, and local civil rights laws and regulations, and to affirm its commitment to promoting the goals of fairness and equity in all aspects of the education program or activity, </w:t>
      </w:r>
      <w:r w:rsidRPr="007609A7">
        <w:rPr>
          <w:highlight w:val="lightGray"/>
        </w:rPr>
        <w:t>Recipient</w:t>
      </w:r>
      <w:r>
        <w:t xml:space="preserve"> has developed policies and procedures that provide</w:t>
      </w:r>
      <w:r w:rsidR="00B94952">
        <w:t xml:space="preserve"> for</w:t>
      </w:r>
      <w:r>
        <w:t xml:space="preserve"> prompt, fair, and impartial </w:t>
      </w:r>
      <w:r w:rsidR="00B94952">
        <w:t>resolution of</w:t>
      </w:r>
      <w:r>
        <w:t xml:space="preserve"> allegation</w:t>
      </w:r>
      <w:r w:rsidR="00B94952">
        <w:t>s</w:t>
      </w:r>
      <w:r>
        <w:t xml:space="preserve"> of </w:t>
      </w:r>
      <w:r w:rsidR="00B94952">
        <w:t xml:space="preserve">protected characteristic </w:t>
      </w:r>
      <w:r>
        <w:t>discrimination</w:t>
      </w:r>
      <w:r w:rsidR="00B94952">
        <w:t xml:space="preserve">, </w:t>
      </w:r>
      <w:r>
        <w:t xml:space="preserve">harassment </w:t>
      </w:r>
      <w:r w:rsidR="00B94952">
        <w:t xml:space="preserve">or </w:t>
      </w:r>
      <w:r>
        <w:t>allegations of retaliation.</w:t>
      </w:r>
    </w:p>
    <w:p w14:paraId="02494DB6" w14:textId="77777777" w:rsidR="00386704" w:rsidRDefault="00386704" w:rsidP="007609A7"/>
    <w:p w14:paraId="31F7CF28" w14:textId="628571FC" w:rsidR="00166D91" w:rsidRDefault="00166D91" w:rsidP="00021C70">
      <w:pPr>
        <w:pStyle w:val="Heading1"/>
      </w:pPr>
      <w:bookmarkStart w:id="1" w:name="_Toc168477492"/>
      <w:bookmarkStart w:id="2" w:name="_Toc82511608"/>
      <w:bookmarkStart w:id="3" w:name="_Toc102393931"/>
      <w:r>
        <w:t>Notice of Nondiscrimination</w:t>
      </w:r>
      <w:bookmarkEnd w:id="1"/>
    </w:p>
    <w:p w14:paraId="00C1E4BE" w14:textId="77777777" w:rsidR="00166D91" w:rsidRDefault="00166D91" w:rsidP="00166D91"/>
    <w:p w14:paraId="2970ED05" w14:textId="27E2498F" w:rsidR="00166D91" w:rsidRDefault="00166D91" w:rsidP="00166D91">
      <w:proofErr w:type="gramStart"/>
      <w:r w:rsidRPr="00897393">
        <w:rPr>
          <w:highlight w:val="lightGray"/>
        </w:rPr>
        <w:t>Recipient</w:t>
      </w:r>
      <w:r w:rsidRPr="00897393">
        <w:t xml:space="preserve"> </w:t>
      </w:r>
      <w:r>
        <w:t>seeks</w:t>
      </w:r>
      <w:proofErr w:type="gramEnd"/>
      <w:r>
        <w:t xml:space="preserve"> to comply with</w:t>
      </w:r>
      <w:r w:rsidRPr="00897393">
        <w:t xml:space="preserve"> all federal, state, and local laws</w:t>
      </w:r>
      <w:r>
        <w:t>, regulations, and ordinances</w:t>
      </w:r>
      <w:r w:rsidRPr="00897393">
        <w:t xml:space="preserve"> prohibiting discrimination in </w:t>
      </w:r>
      <w:r w:rsidRPr="00897393">
        <w:rPr>
          <w:highlight w:val="lightGray"/>
        </w:rPr>
        <w:t>[public/private]</w:t>
      </w:r>
      <w:r w:rsidRPr="00897393">
        <w:t xml:space="preserve"> </w:t>
      </w:r>
      <w:r>
        <w:t xml:space="preserve">post-secondary education </w:t>
      </w:r>
      <w:r w:rsidRPr="00897393">
        <w:t>institutions</w:t>
      </w:r>
      <w:r w:rsidR="007A03BF">
        <w:t>.</w:t>
      </w:r>
    </w:p>
    <w:p w14:paraId="7F7E05A3" w14:textId="77777777" w:rsidR="00166D91" w:rsidRDefault="00166D91" w:rsidP="00166D91">
      <w:pPr>
        <w:rPr>
          <w:highlight w:val="lightGray"/>
        </w:rPr>
      </w:pPr>
    </w:p>
    <w:p w14:paraId="20AB4949" w14:textId="18FFC32D" w:rsidR="00166D91" w:rsidRDefault="00166D91" w:rsidP="00C941A0">
      <w:r w:rsidRPr="00384C69">
        <w:rPr>
          <w:highlight w:val="lightGray"/>
        </w:rPr>
        <w:t>Recipient</w:t>
      </w:r>
      <w:r>
        <w:t xml:space="preserve"> does not discriminate against any employee, applicant for employment, student, or applicant for admission </w:t>
      </w:r>
      <w:proofErr w:type="gramStart"/>
      <w:r>
        <w:t>on the basis of</w:t>
      </w:r>
      <w:proofErr w:type="gramEnd"/>
      <w:r>
        <w:t xml:space="preserve"> actual or perceived: </w:t>
      </w:r>
    </w:p>
    <w:p w14:paraId="66272DCA" w14:textId="77777777" w:rsidR="00166D91" w:rsidRDefault="00166D91" w:rsidP="00166D91"/>
    <w:p w14:paraId="2013B2EC" w14:textId="7C300ACF" w:rsidR="00166D91" w:rsidRDefault="00166D91" w:rsidP="00E67059">
      <w:pPr>
        <w:pStyle w:val="ListParagraph"/>
        <w:numPr>
          <w:ilvl w:val="0"/>
          <w:numId w:val="5"/>
        </w:numPr>
        <w:rPr>
          <w:highlight w:val="lightGray"/>
        </w:rPr>
      </w:pPr>
      <w:r>
        <w:rPr>
          <w:highlight w:val="lightGray"/>
        </w:rPr>
        <w:t xml:space="preserve">Age (40 years and over in the employment context) </w:t>
      </w:r>
    </w:p>
    <w:p w14:paraId="11EDAA40" w14:textId="77777777" w:rsidR="00166D91" w:rsidRDefault="00166D91" w:rsidP="00E67059">
      <w:pPr>
        <w:pStyle w:val="ListParagraph"/>
        <w:numPr>
          <w:ilvl w:val="0"/>
          <w:numId w:val="5"/>
        </w:numPr>
        <w:rPr>
          <w:highlight w:val="lightGray"/>
        </w:rPr>
      </w:pPr>
      <w:r>
        <w:rPr>
          <w:highlight w:val="lightGray"/>
        </w:rPr>
        <w:t>Citizenship status</w:t>
      </w:r>
    </w:p>
    <w:p w14:paraId="5ACAF803" w14:textId="77777777" w:rsidR="00166D91" w:rsidRDefault="00166D91" w:rsidP="00E67059">
      <w:pPr>
        <w:pStyle w:val="ListParagraph"/>
        <w:numPr>
          <w:ilvl w:val="0"/>
          <w:numId w:val="5"/>
        </w:numPr>
        <w:rPr>
          <w:highlight w:val="lightGray"/>
        </w:rPr>
      </w:pPr>
      <w:r>
        <w:rPr>
          <w:highlight w:val="lightGray"/>
        </w:rPr>
        <w:t>Color</w:t>
      </w:r>
    </w:p>
    <w:p w14:paraId="24CF3BF9" w14:textId="77777777" w:rsidR="00166D91" w:rsidRDefault="00166D91" w:rsidP="00E67059">
      <w:pPr>
        <w:pStyle w:val="ListParagraph"/>
        <w:numPr>
          <w:ilvl w:val="0"/>
          <w:numId w:val="5"/>
        </w:numPr>
        <w:rPr>
          <w:highlight w:val="lightGray"/>
        </w:rPr>
      </w:pPr>
      <w:r>
        <w:rPr>
          <w:highlight w:val="lightGray"/>
        </w:rPr>
        <w:t>Creed</w:t>
      </w:r>
    </w:p>
    <w:p w14:paraId="38FD24F5" w14:textId="77777777" w:rsidR="00166D91" w:rsidRDefault="00166D91" w:rsidP="00E67059">
      <w:pPr>
        <w:pStyle w:val="ListParagraph"/>
        <w:numPr>
          <w:ilvl w:val="0"/>
          <w:numId w:val="5"/>
        </w:numPr>
        <w:rPr>
          <w:highlight w:val="lightGray"/>
        </w:rPr>
      </w:pPr>
      <w:r>
        <w:rPr>
          <w:highlight w:val="lightGray"/>
        </w:rPr>
        <w:t>Disability (physical or mental)</w:t>
      </w:r>
    </w:p>
    <w:p w14:paraId="74BE535F" w14:textId="77777777" w:rsidR="00166D91" w:rsidRDefault="00166D91" w:rsidP="00E67059">
      <w:pPr>
        <w:pStyle w:val="ListParagraph"/>
        <w:numPr>
          <w:ilvl w:val="0"/>
          <w:numId w:val="5"/>
        </w:numPr>
        <w:rPr>
          <w:highlight w:val="lightGray"/>
        </w:rPr>
      </w:pPr>
      <w:r>
        <w:rPr>
          <w:highlight w:val="lightGray"/>
        </w:rPr>
        <w:t>Domestic violence victim status</w:t>
      </w:r>
    </w:p>
    <w:p w14:paraId="44C554F6" w14:textId="77777777" w:rsidR="00166D91" w:rsidRDefault="00166D91" w:rsidP="00E67059">
      <w:pPr>
        <w:pStyle w:val="ListParagraph"/>
        <w:numPr>
          <w:ilvl w:val="0"/>
          <w:numId w:val="5"/>
        </w:numPr>
        <w:rPr>
          <w:highlight w:val="lightGray"/>
        </w:rPr>
      </w:pPr>
      <w:r>
        <w:rPr>
          <w:highlight w:val="lightGray"/>
        </w:rPr>
        <w:t>Ethnicity</w:t>
      </w:r>
    </w:p>
    <w:p w14:paraId="5FFD47CF" w14:textId="77777777" w:rsidR="00166D91" w:rsidRDefault="00166D91" w:rsidP="00E67059">
      <w:pPr>
        <w:pStyle w:val="ListParagraph"/>
        <w:numPr>
          <w:ilvl w:val="0"/>
          <w:numId w:val="5"/>
        </w:numPr>
        <w:rPr>
          <w:highlight w:val="lightGray"/>
        </w:rPr>
      </w:pPr>
      <w:r>
        <w:rPr>
          <w:highlight w:val="lightGray"/>
        </w:rPr>
        <w:t>Family responsibilities</w:t>
      </w:r>
    </w:p>
    <w:p w14:paraId="13E70F7A" w14:textId="77777777" w:rsidR="00166D91" w:rsidRDefault="00166D91" w:rsidP="00E67059">
      <w:pPr>
        <w:pStyle w:val="ListParagraph"/>
        <w:numPr>
          <w:ilvl w:val="0"/>
          <w:numId w:val="5"/>
        </w:numPr>
        <w:rPr>
          <w:highlight w:val="lightGray"/>
        </w:rPr>
      </w:pPr>
      <w:r>
        <w:rPr>
          <w:highlight w:val="lightGray"/>
        </w:rPr>
        <w:t>Gender expression</w:t>
      </w:r>
    </w:p>
    <w:p w14:paraId="6504BF43" w14:textId="77777777" w:rsidR="00166D91" w:rsidRDefault="00166D91" w:rsidP="00E67059">
      <w:pPr>
        <w:pStyle w:val="ListParagraph"/>
        <w:numPr>
          <w:ilvl w:val="0"/>
          <w:numId w:val="5"/>
        </w:numPr>
        <w:rPr>
          <w:highlight w:val="lightGray"/>
        </w:rPr>
      </w:pPr>
      <w:r>
        <w:rPr>
          <w:highlight w:val="lightGray"/>
        </w:rPr>
        <w:t>Gender identity</w:t>
      </w:r>
    </w:p>
    <w:p w14:paraId="7FE1C240" w14:textId="660A3DC4" w:rsidR="00166D91" w:rsidRDefault="00166D91" w:rsidP="00E67059">
      <w:pPr>
        <w:pStyle w:val="ListParagraph"/>
        <w:numPr>
          <w:ilvl w:val="0"/>
          <w:numId w:val="5"/>
        </w:numPr>
        <w:rPr>
          <w:highlight w:val="lightGray"/>
        </w:rPr>
      </w:pPr>
      <w:r>
        <w:rPr>
          <w:highlight w:val="lightGray"/>
        </w:rPr>
        <w:t>Genetic information</w:t>
      </w:r>
      <w:r w:rsidR="00D0181D">
        <w:rPr>
          <w:highlight w:val="lightGray"/>
        </w:rPr>
        <w:t xml:space="preserve"> (including family medical history)</w:t>
      </w:r>
    </w:p>
    <w:p w14:paraId="40F9B1AB" w14:textId="1355BF6D" w:rsidR="00166D91" w:rsidRDefault="00166D91" w:rsidP="00E67059">
      <w:pPr>
        <w:pStyle w:val="ListParagraph"/>
        <w:numPr>
          <w:ilvl w:val="0"/>
          <w:numId w:val="5"/>
        </w:numPr>
        <w:rPr>
          <w:highlight w:val="lightGray"/>
        </w:rPr>
      </w:pPr>
      <w:r>
        <w:rPr>
          <w:highlight w:val="lightGray"/>
        </w:rPr>
        <w:t>Height</w:t>
      </w:r>
    </w:p>
    <w:p w14:paraId="4F03A24A" w14:textId="1C6C9810" w:rsidR="00166D91" w:rsidRDefault="00166D91" w:rsidP="00E67059">
      <w:pPr>
        <w:pStyle w:val="ListParagraph"/>
        <w:numPr>
          <w:ilvl w:val="0"/>
          <w:numId w:val="5"/>
        </w:numPr>
        <w:rPr>
          <w:highlight w:val="lightGray"/>
        </w:rPr>
      </w:pPr>
      <w:r>
        <w:rPr>
          <w:highlight w:val="lightGray"/>
        </w:rPr>
        <w:t>Marital status</w:t>
      </w:r>
    </w:p>
    <w:p w14:paraId="26D72000" w14:textId="447C7800" w:rsidR="00166D91" w:rsidRDefault="00166D91" w:rsidP="00E67059">
      <w:pPr>
        <w:pStyle w:val="ListParagraph"/>
        <w:numPr>
          <w:ilvl w:val="0"/>
          <w:numId w:val="5"/>
        </w:numPr>
        <w:rPr>
          <w:highlight w:val="lightGray"/>
        </w:rPr>
      </w:pPr>
      <w:r>
        <w:rPr>
          <w:highlight w:val="lightGray"/>
        </w:rPr>
        <w:t>National origin (including ancestry)</w:t>
      </w:r>
    </w:p>
    <w:p w14:paraId="1A9BEB6C" w14:textId="01742A27" w:rsidR="00166D91" w:rsidRDefault="00166D91" w:rsidP="00E67059">
      <w:pPr>
        <w:pStyle w:val="ListParagraph"/>
        <w:numPr>
          <w:ilvl w:val="0"/>
          <w:numId w:val="5"/>
        </w:numPr>
        <w:rPr>
          <w:highlight w:val="lightGray"/>
        </w:rPr>
      </w:pPr>
      <w:r>
        <w:rPr>
          <w:highlight w:val="lightGray"/>
        </w:rPr>
        <w:t>Personal appearance</w:t>
      </w:r>
    </w:p>
    <w:p w14:paraId="7870FC9C" w14:textId="2A65F40F" w:rsidR="00166D91" w:rsidRDefault="00166D91" w:rsidP="00E67059">
      <w:pPr>
        <w:pStyle w:val="ListParagraph"/>
        <w:numPr>
          <w:ilvl w:val="0"/>
          <w:numId w:val="5"/>
        </w:numPr>
        <w:rPr>
          <w:highlight w:val="lightGray"/>
        </w:rPr>
      </w:pPr>
      <w:r>
        <w:rPr>
          <w:highlight w:val="lightGray"/>
        </w:rPr>
        <w:lastRenderedPageBreak/>
        <w:t>Place of business</w:t>
      </w:r>
    </w:p>
    <w:p w14:paraId="6AD32D5E" w14:textId="17F494CF" w:rsidR="00166D91" w:rsidRDefault="00166D91" w:rsidP="00E67059">
      <w:pPr>
        <w:pStyle w:val="ListParagraph"/>
        <w:numPr>
          <w:ilvl w:val="0"/>
          <w:numId w:val="5"/>
        </w:numPr>
        <w:rPr>
          <w:highlight w:val="lightGray"/>
        </w:rPr>
      </w:pPr>
      <w:r>
        <w:rPr>
          <w:highlight w:val="lightGray"/>
        </w:rPr>
        <w:t>Political belief or affiliation</w:t>
      </w:r>
    </w:p>
    <w:p w14:paraId="476233DA" w14:textId="6E114401" w:rsidR="00166D91" w:rsidRPr="00166D91" w:rsidRDefault="00166D91" w:rsidP="00E67059">
      <w:pPr>
        <w:pStyle w:val="ListParagraph"/>
        <w:numPr>
          <w:ilvl w:val="0"/>
          <w:numId w:val="5"/>
        </w:numPr>
        <w:rPr>
          <w:highlight w:val="lightGray"/>
        </w:rPr>
      </w:pPr>
      <w:r>
        <w:rPr>
          <w:highlight w:val="lightGray"/>
        </w:rPr>
        <w:t>Pregnancy or related conditions</w:t>
      </w:r>
    </w:p>
    <w:p w14:paraId="08148809" w14:textId="3E348511" w:rsidR="00166D91" w:rsidRPr="00384C69" w:rsidRDefault="00166D91" w:rsidP="00E67059">
      <w:pPr>
        <w:pStyle w:val="ListParagraph"/>
        <w:numPr>
          <w:ilvl w:val="0"/>
          <w:numId w:val="5"/>
        </w:numPr>
        <w:rPr>
          <w:highlight w:val="lightGray"/>
        </w:rPr>
      </w:pPr>
      <w:r w:rsidRPr="00384C69">
        <w:rPr>
          <w:highlight w:val="lightGray"/>
        </w:rPr>
        <w:t>Race</w:t>
      </w:r>
    </w:p>
    <w:p w14:paraId="16B37918" w14:textId="77777777" w:rsidR="00166D91" w:rsidRDefault="00166D91" w:rsidP="00E67059">
      <w:pPr>
        <w:pStyle w:val="ListParagraph"/>
        <w:numPr>
          <w:ilvl w:val="0"/>
          <w:numId w:val="5"/>
        </w:numPr>
        <w:rPr>
          <w:highlight w:val="lightGray"/>
        </w:rPr>
      </w:pPr>
      <w:r w:rsidRPr="00384C69">
        <w:rPr>
          <w:highlight w:val="lightGray"/>
        </w:rPr>
        <w:t>Religion</w:t>
      </w:r>
    </w:p>
    <w:p w14:paraId="0DF3848C" w14:textId="6BFD45F7" w:rsidR="00166D91" w:rsidRDefault="00166D91" w:rsidP="00E67059">
      <w:pPr>
        <w:pStyle w:val="ListParagraph"/>
        <w:numPr>
          <w:ilvl w:val="0"/>
          <w:numId w:val="5"/>
        </w:numPr>
        <w:rPr>
          <w:highlight w:val="lightGray"/>
        </w:rPr>
      </w:pPr>
      <w:r>
        <w:rPr>
          <w:highlight w:val="lightGray"/>
        </w:rPr>
        <w:t>Residence</w:t>
      </w:r>
    </w:p>
    <w:p w14:paraId="253F5E35" w14:textId="226E5058" w:rsidR="00166D91" w:rsidRDefault="00166D91" w:rsidP="00E67059">
      <w:pPr>
        <w:pStyle w:val="ListParagraph"/>
        <w:numPr>
          <w:ilvl w:val="0"/>
          <w:numId w:val="5"/>
        </w:numPr>
        <w:rPr>
          <w:highlight w:val="lightGray"/>
        </w:rPr>
      </w:pPr>
      <w:r>
        <w:rPr>
          <w:highlight w:val="lightGray"/>
        </w:rPr>
        <w:t>Sex</w:t>
      </w:r>
    </w:p>
    <w:p w14:paraId="294309D8" w14:textId="27467999" w:rsidR="00166D91" w:rsidRDefault="00166D91" w:rsidP="00E67059">
      <w:pPr>
        <w:pStyle w:val="ListParagraph"/>
        <w:numPr>
          <w:ilvl w:val="0"/>
          <w:numId w:val="5"/>
        </w:numPr>
        <w:rPr>
          <w:highlight w:val="lightGray"/>
        </w:rPr>
      </w:pPr>
      <w:r>
        <w:rPr>
          <w:highlight w:val="lightGray"/>
        </w:rPr>
        <w:t>Sexual orientation</w:t>
      </w:r>
    </w:p>
    <w:p w14:paraId="01B36B4C" w14:textId="6BD0BC42" w:rsidR="00166D91" w:rsidRDefault="00166D91" w:rsidP="00E67059">
      <w:pPr>
        <w:pStyle w:val="ListParagraph"/>
        <w:numPr>
          <w:ilvl w:val="0"/>
          <w:numId w:val="5"/>
        </w:numPr>
        <w:rPr>
          <w:highlight w:val="lightGray"/>
        </w:rPr>
      </w:pPr>
      <w:r>
        <w:rPr>
          <w:highlight w:val="lightGray"/>
        </w:rPr>
        <w:t>Source of income</w:t>
      </w:r>
    </w:p>
    <w:p w14:paraId="525BEFE4" w14:textId="0F6339E2" w:rsidR="00166D91" w:rsidRDefault="00166D91" w:rsidP="00E67059">
      <w:pPr>
        <w:pStyle w:val="ListParagraph"/>
        <w:numPr>
          <w:ilvl w:val="0"/>
          <w:numId w:val="5"/>
        </w:numPr>
        <w:rPr>
          <w:highlight w:val="lightGray"/>
        </w:rPr>
      </w:pPr>
      <w:r>
        <w:rPr>
          <w:highlight w:val="lightGray"/>
        </w:rPr>
        <w:t>Veteran or military status (including disabled veteran</w:t>
      </w:r>
      <w:r w:rsidR="00E67059">
        <w:rPr>
          <w:highlight w:val="lightGray"/>
        </w:rPr>
        <w:t>,</w:t>
      </w:r>
      <w:r>
        <w:rPr>
          <w:highlight w:val="lightGray"/>
        </w:rPr>
        <w:t xml:space="preserve"> recently separated veteran</w:t>
      </w:r>
      <w:r w:rsidR="00E67059">
        <w:rPr>
          <w:highlight w:val="lightGray"/>
        </w:rPr>
        <w:t>,</w:t>
      </w:r>
      <w:r>
        <w:rPr>
          <w:highlight w:val="lightGray"/>
        </w:rPr>
        <w:t xml:space="preserve"> active-duty, wartime, or campaign badge veteran</w:t>
      </w:r>
      <w:r w:rsidR="00E67059">
        <w:rPr>
          <w:highlight w:val="lightGray"/>
        </w:rPr>
        <w:t>,</w:t>
      </w:r>
      <w:r>
        <w:rPr>
          <w:highlight w:val="lightGray"/>
        </w:rPr>
        <w:t xml:space="preserve"> and Armed Forces Service Medal veteran)</w:t>
      </w:r>
    </w:p>
    <w:p w14:paraId="2831A4E1" w14:textId="2868164E" w:rsidR="00166D91" w:rsidRPr="00384C69" w:rsidRDefault="00166D91" w:rsidP="00E67059">
      <w:pPr>
        <w:pStyle w:val="ListParagraph"/>
        <w:numPr>
          <w:ilvl w:val="0"/>
          <w:numId w:val="5"/>
        </w:numPr>
        <w:rPr>
          <w:highlight w:val="lightGray"/>
        </w:rPr>
      </w:pPr>
      <w:r>
        <w:rPr>
          <w:highlight w:val="lightGray"/>
        </w:rPr>
        <w:t>Weight</w:t>
      </w:r>
    </w:p>
    <w:p w14:paraId="73646E0E" w14:textId="638AB352" w:rsidR="00166D91" w:rsidRDefault="00166D91" w:rsidP="00E67059">
      <w:pPr>
        <w:pStyle w:val="ListParagraph"/>
        <w:numPr>
          <w:ilvl w:val="0"/>
          <w:numId w:val="5"/>
        </w:numPr>
      </w:pPr>
      <w:r>
        <w:t>or any other protected characteristic under applicable local, state, or federal law, including protections for those opposing discrimination or participating in any grievance process within the institution, with the Equal Employment Opportunity Commission, and/or other human/civil rights agency.</w:t>
      </w:r>
    </w:p>
    <w:p w14:paraId="6EDF0C5D" w14:textId="77777777" w:rsidR="00166D91" w:rsidRDefault="00166D91" w:rsidP="00166D91"/>
    <w:p w14:paraId="7DEA4098" w14:textId="62D2D890" w:rsidR="00166D91" w:rsidRDefault="00166D91" w:rsidP="00C941A0">
      <w:r>
        <w:t xml:space="preserve">This Policy covers nondiscrimination in both employment and access to educational opportunities. Therefore, any member of the </w:t>
      </w:r>
      <w:r w:rsidRPr="00384C69">
        <w:rPr>
          <w:highlight w:val="lightGray"/>
        </w:rPr>
        <w:t>Recipient</w:t>
      </w:r>
      <w:r>
        <w:t xml:space="preserve"> community whose acts deny, deprive, </w:t>
      </w:r>
      <w:r w:rsidR="00B94952">
        <w:t xml:space="preserve">unreasonably interfere with </w:t>
      </w:r>
      <w:r>
        <w:t>or limit the education or employment</w:t>
      </w:r>
      <w:r w:rsidR="00B94952">
        <w:t>,</w:t>
      </w:r>
      <w:r>
        <w:t xml:space="preserve"> </w:t>
      </w:r>
      <w:r w:rsidRPr="00384C69">
        <w:rPr>
          <w:highlight w:val="lightGray"/>
        </w:rPr>
        <w:t>[residentia</w:t>
      </w:r>
      <w:r w:rsidRPr="00932B10">
        <w:rPr>
          <w:highlight w:val="lightGray"/>
        </w:rPr>
        <w:t>l</w:t>
      </w:r>
      <w:r w:rsidR="00B94952" w:rsidRPr="00932B10">
        <w:rPr>
          <w:highlight w:val="lightGray"/>
        </w:rPr>
        <w:t>]</w:t>
      </w:r>
      <w:r w:rsidRPr="000406BD">
        <w:t xml:space="preserve"> </w:t>
      </w:r>
      <w:r w:rsidRPr="00ED3CAB">
        <w:t>and/or social</w:t>
      </w:r>
      <w:r>
        <w:t xml:space="preserve"> access, benefits, and/or opportunities of any member of the </w:t>
      </w:r>
      <w:r w:rsidRPr="00384C69">
        <w:rPr>
          <w:highlight w:val="lightGray"/>
        </w:rPr>
        <w:t>Recipient</w:t>
      </w:r>
      <w:r>
        <w:t xml:space="preserve"> community, guest, or visitor </w:t>
      </w:r>
      <w:proofErr w:type="gramStart"/>
      <w:r>
        <w:t>on the basis of</w:t>
      </w:r>
      <w:proofErr w:type="gramEnd"/>
      <w:r>
        <w:t xml:space="preserve"> that person’s actual or perceived protected characteristic</w:t>
      </w:r>
      <w:r w:rsidR="00C941A0">
        <w:t>(</w:t>
      </w:r>
      <w:r>
        <w:t>s</w:t>
      </w:r>
      <w:r w:rsidR="00C941A0">
        <w:t>)</w:t>
      </w:r>
      <w:r>
        <w:t xml:space="preserve">, is in violation of </w:t>
      </w:r>
      <w:r w:rsidR="00C941A0">
        <w:t>this</w:t>
      </w:r>
      <w:r>
        <w:t xml:space="preserve"> Policy. </w:t>
      </w:r>
    </w:p>
    <w:p w14:paraId="1EBD0E51" w14:textId="77777777" w:rsidR="00166D91" w:rsidRDefault="00166D91" w:rsidP="00166D91"/>
    <w:p w14:paraId="55DB0015" w14:textId="7CAA064E" w:rsidR="00166D91" w:rsidRDefault="00166D91" w:rsidP="00EB1F93">
      <w:proofErr w:type="gramStart"/>
      <w:r w:rsidRPr="00384C69">
        <w:rPr>
          <w:highlight w:val="lightGray"/>
        </w:rPr>
        <w:t>Recipient</w:t>
      </w:r>
      <w:proofErr w:type="gramEnd"/>
      <w:r>
        <w:t xml:space="preserve"> will promptly and </w:t>
      </w:r>
      <w:r w:rsidR="00BA59AD">
        <w:t xml:space="preserve">effectively </w:t>
      </w:r>
      <w:r>
        <w:t xml:space="preserve">address </w:t>
      </w:r>
      <w:r w:rsidR="00C941A0">
        <w:t xml:space="preserve">any such discrimination </w:t>
      </w:r>
      <w:r w:rsidR="00BA59AD">
        <w:t xml:space="preserve">of which it </w:t>
      </w:r>
      <w:r w:rsidR="00B94952">
        <w:t xml:space="preserve">has </w:t>
      </w:r>
      <w:r w:rsidR="00F240C0">
        <w:t>Knowledge</w:t>
      </w:r>
      <w:r w:rsidR="00B94952">
        <w:t>/</w:t>
      </w:r>
      <w:r w:rsidR="00BD18A8">
        <w:t>Notice</w:t>
      </w:r>
      <w:r>
        <w:t xml:space="preserve"> </w:t>
      </w:r>
      <w:r w:rsidR="00BA59AD">
        <w:t xml:space="preserve">using the resolution process in the </w:t>
      </w:r>
      <w:r w:rsidR="00BA59AD" w:rsidRPr="000406BD">
        <w:rPr>
          <w:highlight w:val="lightGray"/>
        </w:rPr>
        <w:t>Equal Opportunity, Harassment</w:t>
      </w:r>
      <w:r w:rsidR="00EA2CE9" w:rsidRPr="000406BD">
        <w:rPr>
          <w:highlight w:val="lightGray"/>
        </w:rPr>
        <w:t>,</w:t>
      </w:r>
      <w:r w:rsidR="00BA59AD" w:rsidRPr="000406BD">
        <w:rPr>
          <w:highlight w:val="lightGray"/>
        </w:rPr>
        <w:t xml:space="preserve"> and Nondiscrimination</w:t>
      </w:r>
      <w:r w:rsidR="00BA59AD" w:rsidRPr="000406BD">
        <w:t xml:space="preserve"> Procedures.</w:t>
      </w:r>
      <w:r w:rsidR="00BA59AD">
        <w:t xml:space="preserve"> </w:t>
      </w:r>
    </w:p>
    <w:p w14:paraId="798014AD" w14:textId="77777777" w:rsidR="001A50A7" w:rsidRDefault="001A50A7" w:rsidP="00EB1F93"/>
    <w:p w14:paraId="5AA47DA1" w14:textId="77777777" w:rsidR="001A50A7" w:rsidRDefault="001A50A7" w:rsidP="001A50A7">
      <w:pPr>
        <w:pStyle w:val="Heading1"/>
      </w:pPr>
      <w:bookmarkStart w:id="4" w:name="_Nondiscrimination_Team_Contacts"/>
      <w:bookmarkStart w:id="5" w:name="_Toc168477493"/>
      <w:bookmarkStart w:id="6" w:name="NondiscriminationTeam"/>
      <w:bookmarkEnd w:id="4"/>
      <w:r w:rsidRPr="00ED3CAB">
        <w:rPr>
          <w:highlight w:val="lightGray"/>
        </w:rPr>
        <w:t>Nondiscrimination Team</w:t>
      </w:r>
      <w:r>
        <w:t xml:space="preserve"> Contacts</w:t>
      </w:r>
      <w:r w:rsidRPr="00720D3D">
        <w:rPr>
          <w:rStyle w:val="FootnoteReference"/>
          <w:b w:val="0"/>
          <w:bCs w:val="0"/>
          <w:u w:val="none"/>
        </w:rPr>
        <w:footnoteReference w:id="2"/>
      </w:r>
      <w:bookmarkEnd w:id="5"/>
    </w:p>
    <w:bookmarkEnd w:id="6"/>
    <w:p w14:paraId="73747EAC" w14:textId="77777777" w:rsidR="001A50A7" w:rsidRDefault="001A50A7" w:rsidP="001A50A7"/>
    <w:p w14:paraId="639C87FE" w14:textId="5F3281CF" w:rsidR="001A50A7" w:rsidRDefault="001A50A7" w:rsidP="001A50A7">
      <w:r>
        <w:t xml:space="preserve">The </w:t>
      </w:r>
      <w:r w:rsidRPr="00AF4053">
        <w:rPr>
          <w:highlight w:val="lightGray"/>
        </w:rPr>
        <w:t>Recipient</w:t>
      </w:r>
      <w:r>
        <w:t xml:space="preserve"> has appointed the </w:t>
      </w:r>
      <w:r w:rsidRPr="00720D3D">
        <w:rPr>
          <w:highlight w:val="lightGray"/>
        </w:rPr>
        <w:t>Nondiscrimination Team</w:t>
      </w:r>
      <w:r>
        <w:t xml:space="preserve">, comprised of the following individual(s), to coordinate the </w:t>
      </w:r>
      <w:r w:rsidRPr="00AF4053">
        <w:rPr>
          <w:highlight w:val="lightGray"/>
        </w:rPr>
        <w:t>Recipient</w:t>
      </w:r>
      <w:r>
        <w:t xml:space="preserve">’s compliance with federal, state, and local civil rights laws and ordinances: </w:t>
      </w:r>
    </w:p>
    <w:p w14:paraId="071A0620" w14:textId="77777777" w:rsidR="001A50A7" w:rsidRDefault="001A50A7" w:rsidP="001A50A7">
      <w:pPr>
        <w:rPr>
          <w:b/>
          <w:bCs/>
          <w:i/>
          <w:iCs/>
        </w:rPr>
      </w:pPr>
    </w:p>
    <w:p w14:paraId="0C69ADDA" w14:textId="77777777" w:rsidR="001A50A7" w:rsidRDefault="001A50A7" w:rsidP="001A50A7">
      <w:pPr>
        <w:rPr>
          <w:b/>
          <w:bCs/>
          <w:i/>
          <w:iCs/>
        </w:rPr>
      </w:pPr>
      <w:r w:rsidRPr="00D537B3">
        <w:rPr>
          <w:b/>
          <w:bCs/>
          <w:i/>
          <w:iCs/>
          <w:highlight w:val="lightGray"/>
        </w:rPr>
        <w:t>For</w:t>
      </w:r>
      <w:r>
        <w:rPr>
          <w:b/>
          <w:bCs/>
          <w:i/>
          <w:iCs/>
          <w:highlight w:val="lightGray"/>
        </w:rPr>
        <w:t xml:space="preserve"> discrimination and harassment </w:t>
      </w:r>
      <w:r w:rsidRPr="00D537B3">
        <w:rPr>
          <w:b/>
          <w:bCs/>
          <w:i/>
          <w:iCs/>
          <w:highlight w:val="lightGray"/>
        </w:rPr>
        <w:t>allegations</w:t>
      </w:r>
      <w:r>
        <w:rPr>
          <w:b/>
          <w:bCs/>
          <w:i/>
          <w:iCs/>
          <w:highlight w:val="lightGray"/>
        </w:rPr>
        <w:t xml:space="preserve"> [not based on sex or disability]</w:t>
      </w:r>
      <w:r w:rsidRPr="00D537B3">
        <w:rPr>
          <w:b/>
          <w:bCs/>
          <w:i/>
          <w:iCs/>
          <w:highlight w:val="lightGray"/>
        </w:rPr>
        <w:t>:</w:t>
      </w:r>
    </w:p>
    <w:p w14:paraId="4D3F4ED3" w14:textId="77777777" w:rsidR="001A50A7" w:rsidRPr="0084445F" w:rsidRDefault="001A50A7" w:rsidP="001A50A7">
      <w:pPr>
        <w:rPr>
          <w:highlight w:val="lightGray"/>
        </w:rPr>
      </w:pPr>
      <w:r>
        <w:rPr>
          <w:highlight w:val="lightGray"/>
        </w:rPr>
        <w:t>&lt;&lt;</w:t>
      </w:r>
      <w:r w:rsidRPr="0084445F">
        <w:rPr>
          <w:highlight w:val="lightGray"/>
        </w:rPr>
        <w:t>Name</w:t>
      </w:r>
      <w:r>
        <w:rPr>
          <w:highlight w:val="lightGray"/>
        </w:rPr>
        <w:t>&gt;&gt;</w:t>
      </w:r>
    </w:p>
    <w:p w14:paraId="10BFCB33" w14:textId="77777777" w:rsidR="001A50A7" w:rsidRPr="0084445F" w:rsidRDefault="001A50A7" w:rsidP="001A50A7">
      <w:pPr>
        <w:rPr>
          <w:highlight w:val="lightGray"/>
        </w:rPr>
      </w:pPr>
      <w:r>
        <w:rPr>
          <w:highlight w:val="lightGray"/>
        </w:rPr>
        <w:t>&lt;&lt;Title&gt;&gt;</w:t>
      </w:r>
    </w:p>
    <w:p w14:paraId="28E30F23" w14:textId="77777777" w:rsidR="001A50A7" w:rsidRPr="0084445F" w:rsidRDefault="001A50A7" w:rsidP="001A50A7">
      <w:pPr>
        <w:rPr>
          <w:highlight w:val="lightGray"/>
        </w:rPr>
      </w:pPr>
      <w:r>
        <w:rPr>
          <w:highlight w:val="lightGray"/>
        </w:rPr>
        <w:t>&lt;&lt;</w:t>
      </w:r>
      <w:r w:rsidRPr="0084445F">
        <w:rPr>
          <w:highlight w:val="lightGray"/>
        </w:rPr>
        <w:t>Office</w:t>
      </w:r>
      <w:r>
        <w:rPr>
          <w:highlight w:val="lightGray"/>
        </w:rPr>
        <w:t>&gt;&gt;</w:t>
      </w:r>
    </w:p>
    <w:p w14:paraId="29C8809E" w14:textId="77777777" w:rsidR="001A50A7" w:rsidRDefault="001A50A7" w:rsidP="001A50A7">
      <w:pPr>
        <w:rPr>
          <w:highlight w:val="lightGray"/>
        </w:rPr>
      </w:pPr>
      <w:r>
        <w:rPr>
          <w:highlight w:val="lightGray"/>
        </w:rPr>
        <w:t>&lt;&lt;Physical Location&gt;&gt;</w:t>
      </w:r>
    </w:p>
    <w:p w14:paraId="0BFAEB25" w14:textId="77777777" w:rsidR="001A50A7" w:rsidRPr="0084445F" w:rsidRDefault="001A50A7" w:rsidP="001A50A7">
      <w:pPr>
        <w:rPr>
          <w:highlight w:val="lightGray"/>
        </w:rPr>
      </w:pPr>
      <w:r>
        <w:rPr>
          <w:highlight w:val="lightGray"/>
        </w:rPr>
        <w:t>&lt;&lt;Postal Mail Address&gt;&gt;</w:t>
      </w:r>
    </w:p>
    <w:p w14:paraId="341B9155" w14:textId="77777777" w:rsidR="001A50A7" w:rsidRDefault="001A50A7" w:rsidP="001A50A7">
      <w:pPr>
        <w:rPr>
          <w:highlight w:val="lightGray"/>
        </w:rPr>
      </w:pPr>
      <w:r>
        <w:rPr>
          <w:highlight w:val="lightGray"/>
        </w:rPr>
        <w:lastRenderedPageBreak/>
        <w:t>&lt;&lt;Phone Number&gt;&gt;</w:t>
      </w:r>
    </w:p>
    <w:p w14:paraId="20A327C6" w14:textId="77777777" w:rsidR="001A50A7" w:rsidRDefault="001A50A7" w:rsidP="001A50A7">
      <w:pPr>
        <w:rPr>
          <w:highlight w:val="lightGray"/>
        </w:rPr>
      </w:pPr>
      <w:r>
        <w:rPr>
          <w:highlight w:val="lightGray"/>
        </w:rPr>
        <w:t>&lt;&lt;Email Address&gt;&gt;</w:t>
      </w:r>
    </w:p>
    <w:p w14:paraId="2E398BC1" w14:textId="77777777" w:rsidR="001A50A7" w:rsidRDefault="001A50A7" w:rsidP="001A50A7">
      <w:pPr>
        <w:rPr>
          <w:highlight w:val="lightGray"/>
        </w:rPr>
      </w:pPr>
      <w:r>
        <w:rPr>
          <w:highlight w:val="lightGray"/>
        </w:rPr>
        <w:t>&lt;&lt;Website&gt;&gt;</w:t>
      </w:r>
    </w:p>
    <w:p w14:paraId="70B3471F" w14:textId="77777777" w:rsidR="001A50A7" w:rsidRDefault="001A50A7" w:rsidP="001A50A7">
      <w:pPr>
        <w:rPr>
          <w:highlight w:val="lightGray"/>
        </w:rPr>
      </w:pPr>
    </w:p>
    <w:p w14:paraId="28BC7290" w14:textId="77777777" w:rsidR="001A50A7" w:rsidRDefault="001A50A7" w:rsidP="001A50A7">
      <w:pPr>
        <w:rPr>
          <w:b/>
          <w:bCs/>
          <w:i/>
          <w:iCs/>
        </w:rPr>
      </w:pPr>
      <w:r w:rsidRPr="00D537B3">
        <w:rPr>
          <w:b/>
          <w:bCs/>
          <w:i/>
          <w:iCs/>
          <w:highlight w:val="lightGray"/>
        </w:rPr>
        <w:t>For sex</w:t>
      </w:r>
      <w:r>
        <w:rPr>
          <w:b/>
          <w:bCs/>
          <w:i/>
          <w:iCs/>
          <w:highlight w:val="lightGray"/>
        </w:rPr>
        <w:t xml:space="preserve"> discrimination and sex</w:t>
      </w:r>
      <w:r w:rsidRPr="00D537B3">
        <w:rPr>
          <w:b/>
          <w:bCs/>
          <w:i/>
          <w:iCs/>
          <w:highlight w:val="lightGray"/>
        </w:rPr>
        <w:t xml:space="preserve">-based </w:t>
      </w:r>
      <w:r>
        <w:rPr>
          <w:b/>
          <w:bCs/>
          <w:i/>
          <w:iCs/>
          <w:highlight w:val="lightGray"/>
        </w:rPr>
        <w:t xml:space="preserve">harassment </w:t>
      </w:r>
      <w:r w:rsidRPr="00D537B3">
        <w:rPr>
          <w:b/>
          <w:bCs/>
          <w:i/>
          <w:iCs/>
          <w:highlight w:val="lightGray"/>
        </w:rPr>
        <w:t>allegations:</w:t>
      </w:r>
    </w:p>
    <w:p w14:paraId="4497E68E" w14:textId="77777777" w:rsidR="008E2D9B" w:rsidRDefault="008E2D9B" w:rsidP="001A50A7">
      <w:pPr>
        <w:rPr>
          <w:b/>
          <w:bCs/>
          <w:i/>
          <w:iCs/>
        </w:rPr>
      </w:pPr>
    </w:p>
    <w:p w14:paraId="3C502A1E" w14:textId="2FAAD391" w:rsidR="001A50A7" w:rsidRDefault="008E2D9B" w:rsidP="001A50A7">
      <w:pPr>
        <w:rPr>
          <w:b/>
          <w:bCs/>
          <w:i/>
          <w:iCs/>
        </w:rPr>
      </w:pPr>
      <w:r w:rsidRPr="00ED3CAB">
        <w:rPr>
          <w:b/>
          <w:bCs/>
          <w:i/>
          <w:iCs/>
          <w:highlight w:val="lightGray"/>
        </w:rPr>
        <w:t>Administrator</w:t>
      </w:r>
    </w:p>
    <w:p w14:paraId="6A6C957D" w14:textId="77777777" w:rsidR="001A50A7" w:rsidRPr="0084445F" w:rsidRDefault="001A50A7" w:rsidP="001A50A7">
      <w:pPr>
        <w:rPr>
          <w:highlight w:val="lightGray"/>
        </w:rPr>
      </w:pPr>
      <w:r>
        <w:rPr>
          <w:highlight w:val="lightGray"/>
        </w:rPr>
        <w:t>&lt;&lt;</w:t>
      </w:r>
      <w:r w:rsidRPr="0084445F">
        <w:rPr>
          <w:highlight w:val="lightGray"/>
        </w:rPr>
        <w:t>Name</w:t>
      </w:r>
      <w:r>
        <w:rPr>
          <w:highlight w:val="lightGray"/>
        </w:rPr>
        <w:t>&gt;&gt;</w:t>
      </w:r>
    </w:p>
    <w:p w14:paraId="62AFDF62" w14:textId="77777777" w:rsidR="001A50A7" w:rsidRPr="0084445F" w:rsidRDefault="001A50A7" w:rsidP="001A50A7">
      <w:pPr>
        <w:rPr>
          <w:highlight w:val="lightGray"/>
        </w:rPr>
      </w:pPr>
      <w:r>
        <w:rPr>
          <w:highlight w:val="lightGray"/>
        </w:rPr>
        <w:t>&lt;&lt;Title&gt;&gt;</w:t>
      </w:r>
    </w:p>
    <w:p w14:paraId="10199FED" w14:textId="77777777" w:rsidR="001A50A7" w:rsidRPr="0084445F" w:rsidRDefault="001A50A7" w:rsidP="001A50A7">
      <w:pPr>
        <w:rPr>
          <w:highlight w:val="lightGray"/>
        </w:rPr>
      </w:pPr>
      <w:r>
        <w:rPr>
          <w:highlight w:val="lightGray"/>
        </w:rPr>
        <w:t>&lt;&lt;</w:t>
      </w:r>
      <w:r w:rsidRPr="0084445F">
        <w:rPr>
          <w:highlight w:val="lightGray"/>
        </w:rPr>
        <w:t>Office</w:t>
      </w:r>
      <w:r>
        <w:rPr>
          <w:highlight w:val="lightGray"/>
        </w:rPr>
        <w:t>&gt;&gt;</w:t>
      </w:r>
    </w:p>
    <w:p w14:paraId="4218FB19" w14:textId="77777777" w:rsidR="001A50A7" w:rsidRDefault="001A50A7" w:rsidP="001A50A7">
      <w:pPr>
        <w:rPr>
          <w:highlight w:val="lightGray"/>
        </w:rPr>
      </w:pPr>
      <w:r>
        <w:rPr>
          <w:highlight w:val="lightGray"/>
        </w:rPr>
        <w:t>&lt;&lt;Physical Location&gt;&gt;</w:t>
      </w:r>
    </w:p>
    <w:p w14:paraId="5365CA2B" w14:textId="77777777" w:rsidR="001A50A7" w:rsidRPr="0084445F" w:rsidRDefault="001A50A7" w:rsidP="001A50A7">
      <w:pPr>
        <w:rPr>
          <w:highlight w:val="lightGray"/>
        </w:rPr>
      </w:pPr>
      <w:r>
        <w:rPr>
          <w:highlight w:val="lightGray"/>
        </w:rPr>
        <w:t>&lt;&lt;Postal Mail Address&gt;&gt;</w:t>
      </w:r>
    </w:p>
    <w:p w14:paraId="0309B688" w14:textId="77777777" w:rsidR="001A50A7" w:rsidRDefault="001A50A7" w:rsidP="001A50A7">
      <w:pPr>
        <w:rPr>
          <w:highlight w:val="lightGray"/>
        </w:rPr>
      </w:pPr>
      <w:r>
        <w:rPr>
          <w:highlight w:val="lightGray"/>
        </w:rPr>
        <w:t>&lt;&lt;Phone Number&gt;&gt;</w:t>
      </w:r>
    </w:p>
    <w:p w14:paraId="26AC29E4" w14:textId="77777777" w:rsidR="001A50A7" w:rsidRDefault="001A50A7" w:rsidP="001A50A7">
      <w:pPr>
        <w:rPr>
          <w:highlight w:val="lightGray"/>
        </w:rPr>
      </w:pPr>
      <w:r>
        <w:rPr>
          <w:highlight w:val="lightGray"/>
        </w:rPr>
        <w:t>&lt;&lt;Email Address&gt;&gt;</w:t>
      </w:r>
    </w:p>
    <w:p w14:paraId="35CFE94C" w14:textId="77777777" w:rsidR="001A50A7" w:rsidRDefault="001A50A7" w:rsidP="001A50A7">
      <w:pPr>
        <w:rPr>
          <w:highlight w:val="lightGray"/>
        </w:rPr>
      </w:pPr>
      <w:r>
        <w:rPr>
          <w:highlight w:val="lightGray"/>
        </w:rPr>
        <w:t>&lt;&lt;Website&gt;&gt;</w:t>
      </w:r>
    </w:p>
    <w:p w14:paraId="0435CE72" w14:textId="77777777" w:rsidR="001A50A7" w:rsidRDefault="001A50A7" w:rsidP="001A50A7">
      <w:pPr>
        <w:rPr>
          <w:b/>
          <w:bCs/>
          <w:i/>
          <w:iCs/>
        </w:rPr>
      </w:pPr>
    </w:p>
    <w:p w14:paraId="1F3DA9FB" w14:textId="77777777" w:rsidR="001A50A7" w:rsidRDefault="001A50A7" w:rsidP="001A50A7">
      <w:pPr>
        <w:rPr>
          <w:b/>
          <w:bCs/>
          <w:i/>
          <w:iCs/>
        </w:rPr>
      </w:pPr>
      <w:r w:rsidRPr="00D537B3">
        <w:rPr>
          <w:b/>
          <w:bCs/>
          <w:i/>
          <w:iCs/>
          <w:highlight w:val="lightGray"/>
        </w:rPr>
        <w:t>For disability-based allegations:</w:t>
      </w:r>
    </w:p>
    <w:p w14:paraId="1BAECF5D" w14:textId="77777777" w:rsidR="001A50A7" w:rsidRPr="0084445F" w:rsidRDefault="001A50A7" w:rsidP="001A50A7">
      <w:pPr>
        <w:rPr>
          <w:highlight w:val="lightGray"/>
        </w:rPr>
      </w:pPr>
      <w:r>
        <w:rPr>
          <w:highlight w:val="lightGray"/>
        </w:rPr>
        <w:t>&lt;&lt;</w:t>
      </w:r>
      <w:r w:rsidRPr="0084445F">
        <w:rPr>
          <w:highlight w:val="lightGray"/>
        </w:rPr>
        <w:t>Name</w:t>
      </w:r>
      <w:r>
        <w:rPr>
          <w:highlight w:val="lightGray"/>
        </w:rPr>
        <w:t>&gt;&gt;</w:t>
      </w:r>
    </w:p>
    <w:p w14:paraId="1C55D9B6" w14:textId="77777777" w:rsidR="001A50A7" w:rsidRPr="0084445F" w:rsidRDefault="001A50A7" w:rsidP="001A50A7">
      <w:pPr>
        <w:rPr>
          <w:highlight w:val="lightGray"/>
        </w:rPr>
      </w:pPr>
      <w:r>
        <w:rPr>
          <w:highlight w:val="lightGray"/>
        </w:rPr>
        <w:t>&lt;&lt;Title&gt;&gt;</w:t>
      </w:r>
    </w:p>
    <w:p w14:paraId="248DD411" w14:textId="77777777" w:rsidR="001A50A7" w:rsidRPr="0084445F" w:rsidRDefault="001A50A7" w:rsidP="001A50A7">
      <w:pPr>
        <w:rPr>
          <w:highlight w:val="lightGray"/>
        </w:rPr>
      </w:pPr>
      <w:r>
        <w:rPr>
          <w:highlight w:val="lightGray"/>
        </w:rPr>
        <w:t>&lt;&lt;</w:t>
      </w:r>
      <w:r w:rsidRPr="0084445F">
        <w:rPr>
          <w:highlight w:val="lightGray"/>
        </w:rPr>
        <w:t>Office</w:t>
      </w:r>
      <w:r>
        <w:rPr>
          <w:highlight w:val="lightGray"/>
        </w:rPr>
        <w:t>&gt;&gt;</w:t>
      </w:r>
    </w:p>
    <w:p w14:paraId="700D4572" w14:textId="77777777" w:rsidR="001A50A7" w:rsidRDefault="001A50A7" w:rsidP="001A50A7">
      <w:pPr>
        <w:rPr>
          <w:highlight w:val="lightGray"/>
        </w:rPr>
      </w:pPr>
      <w:r>
        <w:rPr>
          <w:highlight w:val="lightGray"/>
        </w:rPr>
        <w:t>&lt;&lt;Physical Location&gt;&gt;</w:t>
      </w:r>
    </w:p>
    <w:p w14:paraId="482E2C3C" w14:textId="77777777" w:rsidR="001A50A7" w:rsidRPr="0084445F" w:rsidRDefault="001A50A7" w:rsidP="001A50A7">
      <w:pPr>
        <w:rPr>
          <w:highlight w:val="lightGray"/>
        </w:rPr>
      </w:pPr>
      <w:r>
        <w:rPr>
          <w:highlight w:val="lightGray"/>
        </w:rPr>
        <w:t>&lt;&lt;Postal Mail Address&gt;&gt;</w:t>
      </w:r>
    </w:p>
    <w:p w14:paraId="2E63E35F" w14:textId="77777777" w:rsidR="001A50A7" w:rsidRDefault="001A50A7" w:rsidP="001A50A7">
      <w:pPr>
        <w:rPr>
          <w:highlight w:val="lightGray"/>
        </w:rPr>
      </w:pPr>
      <w:r>
        <w:rPr>
          <w:highlight w:val="lightGray"/>
        </w:rPr>
        <w:t>&lt;&lt;Phone Number&gt;&gt;</w:t>
      </w:r>
    </w:p>
    <w:p w14:paraId="49168ABA" w14:textId="77777777" w:rsidR="001A50A7" w:rsidRDefault="001A50A7" w:rsidP="001A50A7">
      <w:pPr>
        <w:rPr>
          <w:highlight w:val="lightGray"/>
        </w:rPr>
      </w:pPr>
      <w:r>
        <w:rPr>
          <w:highlight w:val="lightGray"/>
        </w:rPr>
        <w:t>&lt;&lt;Email Address&gt;&gt;</w:t>
      </w:r>
    </w:p>
    <w:p w14:paraId="00D4EBE6" w14:textId="77777777" w:rsidR="001A50A7" w:rsidRDefault="001A50A7" w:rsidP="001A50A7">
      <w:pPr>
        <w:rPr>
          <w:highlight w:val="lightGray"/>
        </w:rPr>
      </w:pPr>
      <w:r>
        <w:rPr>
          <w:highlight w:val="lightGray"/>
        </w:rPr>
        <w:t>&lt;&lt;Website&gt;&gt;</w:t>
      </w:r>
    </w:p>
    <w:p w14:paraId="036A805E" w14:textId="77777777" w:rsidR="001A50A7" w:rsidRDefault="001A50A7" w:rsidP="001A50A7">
      <w:pPr>
        <w:rPr>
          <w:b/>
          <w:bCs/>
          <w:i/>
          <w:iCs/>
        </w:rPr>
      </w:pPr>
    </w:p>
    <w:p w14:paraId="27CB5744" w14:textId="7A81BB1A" w:rsidR="001A50A7" w:rsidRPr="0084445F" w:rsidRDefault="001A50A7" w:rsidP="001A50A7">
      <w:pPr>
        <w:rPr>
          <w:highlight w:val="lightGray"/>
        </w:rPr>
      </w:pPr>
      <w:r>
        <w:rPr>
          <w:highlight w:val="lightGray"/>
        </w:rPr>
        <w:t>&lt;&lt;</w:t>
      </w:r>
      <w:r w:rsidRPr="0084445F">
        <w:rPr>
          <w:highlight w:val="lightGray"/>
        </w:rPr>
        <w:t xml:space="preserve">Include all relevant </w:t>
      </w:r>
      <w:r>
        <w:rPr>
          <w:highlight w:val="lightGray"/>
        </w:rPr>
        <w:t>&lt;&lt;Nondiscrimination</w:t>
      </w:r>
      <w:r w:rsidRPr="0084445F">
        <w:rPr>
          <w:highlight w:val="lightGray"/>
        </w:rPr>
        <w:t xml:space="preserve"> Team</w:t>
      </w:r>
      <w:r>
        <w:rPr>
          <w:highlight w:val="lightGray"/>
        </w:rPr>
        <w:t>&gt;&gt;</w:t>
      </w:r>
      <w:r w:rsidRPr="0084445F">
        <w:rPr>
          <w:highlight w:val="lightGray"/>
        </w:rPr>
        <w:t xml:space="preserve"> members</w:t>
      </w:r>
      <w:r>
        <w:rPr>
          <w:highlight w:val="lightGray"/>
        </w:rPr>
        <w:t xml:space="preserve">, </w:t>
      </w:r>
      <w:r w:rsidRPr="0084445F">
        <w:rPr>
          <w:highlight w:val="lightGray"/>
        </w:rPr>
        <w:t>and, if applicable, the general delineated responsibilities of each</w:t>
      </w:r>
      <w:r>
        <w:rPr>
          <w:highlight w:val="lightGray"/>
        </w:rPr>
        <w:t>&gt;&gt;</w:t>
      </w:r>
      <w:r w:rsidRPr="0084445F">
        <w:rPr>
          <w:highlight w:val="lightGray"/>
        </w:rPr>
        <w:t xml:space="preserve"> </w:t>
      </w:r>
    </w:p>
    <w:p w14:paraId="3EDF84C3" w14:textId="77777777" w:rsidR="001A50A7" w:rsidRDefault="001A50A7" w:rsidP="001A50A7">
      <w:pPr>
        <w:rPr>
          <w:b/>
          <w:bCs/>
          <w:i/>
          <w:iCs/>
        </w:rPr>
      </w:pPr>
    </w:p>
    <w:p w14:paraId="1FF4FFC0" w14:textId="5DF3C62F" w:rsidR="001A50A7" w:rsidRDefault="001A50A7" w:rsidP="001A50A7">
      <w:r>
        <w:t xml:space="preserve">Collectively, these individuals are responsible for providing comprehensive nondiscrimination education and training; coordinating the </w:t>
      </w:r>
      <w:r w:rsidRPr="00AF4053">
        <w:rPr>
          <w:highlight w:val="lightGray"/>
        </w:rPr>
        <w:t>Recipient</w:t>
      </w:r>
      <w:r>
        <w:t>’s timely, thorough, and fair response, investigation, and resolution of all alleged prohibited conduct under this Policy; and monitoring the effectiveness of this Policy and related procedures to ensure an education and employment environment free from discrimination, harassment, and retaliation.</w:t>
      </w:r>
    </w:p>
    <w:p w14:paraId="1DC249D3" w14:textId="77777777" w:rsidR="001A50A7" w:rsidRDefault="001A50A7" w:rsidP="001A50A7"/>
    <w:p w14:paraId="72A4B995" w14:textId="0142EE20" w:rsidR="001A50A7" w:rsidRDefault="001A50A7" w:rsidP="001A50A7">
      <w:bookmarkStart w:id="7" w:name="_Hlk85809400"/>
      <w:r w:rsidRPr="007609A7">
        <w:rPr>
          <w:highlight w:val="lightGray"/>
        </w:rPr>
        <w:t>Recipient</w:t>
      </w:r>
      <w:r>
        <w:t xml:space="preserve"> recognizes that allegations under this Policy may include multiple forms of discrimination and harassment as well as violations of other </w:t>
      </w:r>
      <w:r w:rsidRPr="007609A7">
        <w:rPr>
          <w:highlight w:val="lightGray"/>
        </w:rPr>
        <w:t>Recipient</w:t>
      </w:r>
      <w:r>
        <w:t xml:space="preserve"> policies; may involve various combinations of students, employees, and other members of the </w:t>
      </w:r>
      <w:r w:rsidRPr="007609A7">
        <w:rPr>
          <w:highlight w:val="lightGray"/>
        </w:rPr>
        <w:t>Recipient</w:t>
      </w:r>
      <w:r>
        <w:t xml:space="preserve"> community; and may require the simultaneous attention of multiple </w:t>
      </w:r>
      <w:r w:rsidRPr="007609A7">
        <w:rPr>
          <w:highlight w:val="lightGray"/>
        </w:rPr>
        <w:t>Recipient</w:t>
      </w:r>
      <w:r>
        <w:t xml:space="preserve"> departments. Accordingly, all </w:t>
      </w:r>
      <w:r w:rsidRPr="007609A7">
        <w:rPr>
          <w:highlight w:val="lightGray"/>
        </w:rPr>
        <w:t>Recipient</w:t>
      </w:r>
      <w:r>
        <w:t xml:space="preserve"> departments will share information, combine efforts, and otherwise collaborate, to the maximum extent permitted by law and consistent with other applicable </w:t>
      </w:r>
      <w:r w:rsidRPr="007609A7">
        <w:rPr>
          <w:highlight w:val="lightGray"/>
        </w:rPr>
        <w:t>Recipient</w:t>
      </w:r>
      <w:r>
        <w:t xml:space="preserve"> policies, to provide uniform, consistent, efficient, and effective responses to alleged discrimination</w:t>
      </w:r>
      <w:r w:rsidR="00D92310">
        <w:t>,</w:t>
      </w:r>
      <w:r>
        <w:t xml:space="preserve"> harassment</w:t>
      </w:r>
      <w:r w:rsidR="00D92310">
        <w:t>,</w:t>
      </w:r>
      <w:r>
        <w:t xml:space="preserve"> or retaliation.</w:t>
      </w:r>
      <w:bookmarkEnd w:id="7"/>
    </w:p>
    <w:p w14:paraId="15042EE3" w14:textId="77777777" w:rsidR="001A50A7" w:rsidRDefault="001A50A7" w:rsidP="001A50A7">
      <w:pPr>
        <w:spacing w:line="259" w:lineRule="auto"/>
      </w:pPr>
    </w:p>
    <w:p w14:paraId="5C876E8A" w14:textId="77777777" w:rsidR="001A50A7" w:rsidRDefault="001A50A7" w:rsidP="001A50A7">
      <w:pPr>
        <w:pStyle w:val="Heading1"/>
      </w:pPr>
      <w:bookmarkStart w:id="8" w:name="_Toc168477494"/>
      <w:r>
        <w:lastRenderedPageBreak/>
        <w:t>External Contact Information</w:t>
      </w:r>
      <w:bookmarkEnd w:id="8"/>
    </w:p>
    <w:p w14:paraId="52A88730" w14:textId="77777777" w:rsidR="001A50A7" w:rsidRDefault="001A50A7" w:rsidP="001A50A7"/>
    <w:p w14:paraId="26571B39" w14:textId="77777777" w:rsidR="001A50A7" w:rsidRDefault="001A50A7" w:rsidP="001A50A7">
      <w:proofErr w:type="gramStart"/>
      <w:r>
        <w:t>Concerns about</w:t>
      </w:r>
      <w:proofErr w:type="gramEnd"/>
      <w:r>
        <w:t xml:space="preserve"> the </w:t>
      </w:r>
      <w:r w:rsidRPr="00720D3D">
        <w:rPr>
          <w:highlight w:val="lightGray"/>
        </w:rPr>
        <w:t>Recipient</w:t>
      </w:r>
      <w:r>
        <w:t>’s application of this Policy and compliance with certain federal civil rights laws may also be addressed to:</w:t>
      </w:r>
    </w:p>
    <w:p w14:paraId="76BC2AED" w14:textId="77777777" w:rsidR="001A50A7" w:rsidRDefault="001A50A7" w:rsidP="001A50A7"/>
    <w:p w14:paraId="2BC7C268" w14:textId="77777777" w:rsidR="001A50A7" w:rsidRDefault="001A50A7" w:rsidP="001A50A7">
      <w:r>
        <w:t>Office for Civil Rights (OCR)</w:t>
      </w:r>
    </w:p>
    <w:p w14:paraId="2979D072" w14:textId="77777777" w:rsidR="001A50A7" w:rsidRDefault="001A50A7" w:rsidP="001A50A7">
      <w:r>
        <w:t>U.S. Department of Education</w:t>
      </w:r>
    </w:p>
    <w:p w14:paraId="413E75E3" w14:textId="77777777" w:rsidR="001A50A7" w:rsidRDefault="001A50A7" w:rsidP="001A50A7">
      <w:r>
        <w:t>400 Maryland Avenue, SW</w:t>
      </w:r>
    </w:p>
    <w:p w14:paraId="143D6274" w14:textId="77777777" w:rsidR="001A50A7" w:rsidRDefault="001A50A7" w:rsidP="001A50A7">
      <w:r>
        <w:t>Washington, D.C.  20202-1100</w:t>
      </w:r>
    </w:p>
    <w:p w14:paraId="11F6BF94" w14:textId="77777777" w:rsidR="001A50A7" w:rsidRDefault="001A50A7" w:rsidP="001A50A7">
      <w:r>
        <w:t xml:space="preserve">Customer Service </w:t>
      </w:r>
      <w:proofErr w:type="gramStart"/>
      <w:r>
        <w:t>Hotline #:</w:t>
      </w:r>
      <w:proofErr w:type="gramEnd"/>
      <w:r>
        <w:t xml:space="preserve"> (800) 421-3481</w:t>
      </w:r>
    </w:p>
    <w:p w14:paraId="42205686" w14:textId="77777777" w:rsidR="001A50A7" w:rsidRDefault="001A50A7" w:rsidP="001A50A7">
      <w:r>
        <w:t xml:space="preserve">Facsimile: (202) 453-6012 </w:t>
      </w:r>
    </w:p>
    <w:p w14:paraId="6DA430A3" w14:textId="77777777" w:rsidR="001A50A7" w:rsidRDefault="001A50A7" w:rsidP="001A50A7">
      <w:proofErr w:type="gramStart"/>
      <w:r>
        <w:t>TDD#:</w:t>
      </w:r>
      <w:proofErr w:type="gramEnd"/>
      <w:r>
        <w:t xml:space="preserve"> (877) 521-2172</w:t>
      </w:r>
    </w:p>
    <w:p w14:paraId="4EEAD4E0" w14:textId="77777777" w:rsidR="001A50A7" w:rsidRPr="009E0CDE" w:rsidRDefault="001A50A7" w:rsidP="001A50A7">
      <w:pPr>
        <w:rPr>
          <w:rStyle w:val="Hyperlink"/>
        </w:rPr>
      </w:pPr>
      <w:r>
        <w:t xml:space="preserve">Email: </w:t>
      </w:r>
      <w:hyperlink r:id="rId11">
        <w:r w:rsidRPr="009E0CDE">
          <w:rPr>
            <w:rStyle w:val="Hyperlink"/>
          </w:rPr>
          <w:t>OCR@ed.gov</w:t>
        </w:r>
      </w:hyperlink>
    </w:p>
    <w:p w14:paraId="21F5725D" w14:textId="77777777" w:rsidR="001A50A7" w:rsidRDefault="001A50A7" w:rsidP="001A50A7">
      <w:r>
        <w:t xml:space="preserve">Web: </w:t>
      </w:r>
      <w:hyperlink r:id="rId12" w:history="1">
        <w:r w:rsidRPr="002B408D">
          <w:rPr>
            <w:rStyle w:val="Hyperlink"/>
          </w:rPr>
          <w:t>http://www.ed.gov/ocr</w:t>
        </w:r>
      </w:hyperlink>
    </w:p>
    <w:p w14:paraId="60311D38" w14:textId="77777777" w:rsidR="001A50A7" w:rsidRDefault="001A50A7" w:rsidP="001A50A7"/>
    <w:p w14:paraId="573AD977" w14:textId="77777777" w:rsidR="001A50A7" w:rsidRDefault="001A50A7" w:rsidP="001A50A7">
      <w:r w:rsidRPr="009E0CDE">
        <w:rPr>
          <w:highlight w:val="lightGray"/>
        </w:rPr>
        <w:t xml:space="preserve">May note </w:t>
      </w:r>
      <w:hyperlink r:id="rId13" w:history="1">
        <w:r w:rsidRPr="009E0CDE">
          <w:rPr>
            <w:rStyle w:val="Hyperlink"/>
            <w:highlight w:val="lightGray"/>
          </w:rPr>
          <w:t>local OCR office contact</w:t>
        </w:r>
      </w:hyperlink>
      <w:r w:rsidRPr="009E0CDE">
        <w:rPr>
          <w:highlight w:val="lightGray"/>
        </w:rPr>
        <w:t xml:space="preserve"> information her</w:t>
      </w:r>
      <w:r w:rsidRPr="007D1111">
        <w:rPr>
          <w:highlight w:val="lightGray"/>
        </w:rPr>
        <w:t>e.</w:t>
      </w:r>
    </w:p>
    <w:p w14:paraId="07B58832" w14:textId="77777777" w:rsidR="001A50A7" w:rsidRDefault="001A50A7" w:rsidP="001A50A7"/>
    <w:p w14:paraId="5A369119" w14:textId="4864BFAD" w:rsidR="001A50A7" w:rsidRDefault="00E06C6E" w:rsidP="001A50A7">
      <w:r>
        <w:rPr>
          <w:highlight w:val="lightGray"/>
        </w:rPr>
        <w:t>&lt;&lt;</w:t>
      </w:r>
      <w:r w:rsidR="001A50A7" w:rsidRPr="009E0CDE">
        <w:rPr>
          <w:highlight w:val="lightGray"/>
        </w:rPr>
        <w:t>If Recipient operates a medical school, include HHS OCR contact information here (required).</w:t>
      </w:r>
      <w:r w:rsidRPr="00E06C6E">
        <w:rPr>
          <w:highlight w:val="lightGray"/>
        </w:rPr>
        <w:t>&gt;&gt;</w:t>
      </w:r>
      <w:r w:rsidR="001A50A7">
        <w:t xml:space="preserve"> </w:t>
      </w:r>
    </w:p>
    <w:p w14:paraId="7A6948FD" w14:textId="77777777" w:rsidR="001A50A7" w:rsidRDefault="001A50A7" w:rsidP="001A50A7"/>
    <w:p w14:paraId="34221B1B" w14:textId="5F372FA1" w:rsidR="001A50A7" w:rsidRDefault="006F2965" w:rsidP="001A50A7">
      <w:r>
        <w:rPr>
          <w:highlight w:val="lightGray"/>
        </w:rPr>
        <w:t>&lt;&lt;</w:t>
      </w:r>
      <w:r w:rsidR="001A50A7" w:rsidRPr="009E0CDE">
        <w:rPr>
          <w:highlight w:val="lightGray"/>
        </w:rPr>
        <w:t>Add contact information for any other applicable federal or state agency (e.g., DOJ).</w:t>
      </w:r>
      <w:r w:rsidR="001A50A7">
        <w:rPr>
          <w:rStyle w:val="FootnoteReference"/>
          <w:highlight w:val="lightGray"/>
        </w:rPr>
        <w:footnoteReference w:id="3"/>
      </w:r>
      <w:r w:rsidR="001A50A7" w:rsidRPr="009E0CDE">
        <w:rPr>
          <w:highlight w:val="lightGray"/>
        </w:rPr>
        <w:t xml:space="preserve"> Federal grantees should indicate NASA, NOAA, NIH, etc.</w:t>
      </w:r>
      <w:r w:rsidR="00496934">
        <w:rPr>
          <w:highlight w:val="lightGray"/>
        </w:rPr>
        <w:t>,</w:t>
      </w:r>
      <w:r w:rsidR="001A50A7" w:rsidRPr="009E0CDE">
        <w:rPr>
          <w:highlight w:val="lightGray"/>
        </w:rPr>
        <w:t xml:space="preserve"> as applicable agencies per the terms of the grant.</w:t>
      </w:r>
      <w:r w:rsidRPr="006F2965">
        <w:rPr>
          <w:highlight w:val="lightGray"/>
        </w:rPr>
        <w:t>&gt;&gt;</w:t>
      </w:r>
    </w:p>
    <w:p w14:paraId="1B76A4C4" w14:textId="77777777" w:rsidR="001A50A7" w:rsidRDefault="001A50A7" w:rsidP="001A50A7"/>
    <w:p w14:paraId="71A1C44C" w14:textId="6C06EEEF" w:rsidR="001A50A7" w:rsidRPr="00897393" w:rsidRDefault="001A50A7" w:rsidP="00EB1F93">
      <w:pPr>
        <w:rPr>
          <w:highlight w:val="lightGray"/>
        </w:rPr>
      </w:pPr>
      <w:r>
        <w:t xml:space="preserve">For </w:t>
      </w:r>
      <w:r w:rsidR="0057733F">
        <w:t>Complaint</w:t>
      </w:r>
      <w:r>
        <w:t xml:space="preserve">s involving employee-on-employee conduct: </w:t>
      </w:r>
      <w:hyperlink r:id="rId14" w:history="1">
        <w:r w:rsidRPr="009E0CDE">
          <w:rPr>
            <w:rStyle w:val="Hyperlink"/>
          </w:rPr>
          <w:t>Equal Employment Opportunity Commission</w:t>
        </w:r>
      </w:hyperlink>
      <w:r>
        <w:t xml:space="preserve"> (EEOC)</w:t>
      </w:r>
      <w:r>
        <w:rPr>
          <w:rStyle w:val="FootnoteReference"/>
        </w:rPr>
        <w:footnoteReference w:id="4"/>
      </w:r>
    </w:p>
    <w:p w14:paraId="269EC951" w14:textId="77777777" w:rsidR="00166D91" w:rsidRPr="00166D91" w:rsidRDefault="00166D91" w:rsidP="00EB1F93"/>
    <w:p w14:paraId="79657A35" w14:textId="77777777" w:rsidR="00C679FD" w:rsidRDefault="00C679FD" w:rsidP="00C679FD">
      <w:pPr>
        <w:pStyle w:val="Heading1"/>
      </w:pPr>
      <w:bookmarkStart w:id="9" w:name="_Toc168477495"/>
      <w:r>
        <w:t>Mandated Reporting and Confidential Employees</w:t>
      </w:r>
      <w:bookmarkEnd w:id="9"/>
    </w:p>
    <w:p w14:paraId="450E4D7F" w14:textId="77777777" w:rsidR="00C679FD" w:rsidRDefault="00C679FD" w:rsidP="00C679FD"/>
    <w:p w14:paraId="50BFDFEC" w14:textId="77777777" w:rsidR="00C679FD" w:rsidRDefault="00C679FD" w:rsidP="00C679FD">
      <w:r>
        <w:t xml:space="preserve">All </w:t>
      </w:r>
      <w:r w:rsidRPr="007F6017">
        <w:rPr>
          <w:highlight w:val="lightGray"/>
        </w:rPr>
        <w:t>Recipient</w:t>
      </w:r>
      <w:r>
        <w:t xml:space="preserve"> faculty and employees (including student-employees), other than those deemed Confidential Employees, are Mandated Reporters and are expected to promptly report all known details of actual or suspected discrimination, harassment, and/or retaliation to appropriate officials immediately, although there are some limited exceptions. Supportive measures may be offered as the result of such disclosures without formal </w:t>
      </w:r>
      <w:r w:rsidRPr="00342AC2">
        <w:rPr>
          <w:highlight w:val="lightGray"/>
        </w:rPr>
        <w:t>Recipient</w:t>
      </w:r>
      <w:r>
        <w:t xml:space="preserve"> action.</w:t>
      </w:r>
    </w:p>
    <w:p w14:paraId="6BFE31F4" w14:textId="77777777" w:rsidR="00C679FD" w:rsidRDefault="00C679FD" w:rsidP="00C679FD"/>
    <w:p w14:paraId="11CF59F3" w14:textId="77777777" w:rsidR="00C679FD" w:rsidRDefault="00C679FD" w:rsidP="00C679FD">
      <w:r>
        <w:t xml:space="preserve">Complainants may want to carefully consider whether they share personally identifiable details with Mandated Reporters, as those details must be shared with the </w:t>
      </w:r>
      <w:r w:rsidRPr="0091243B">
        <w:rPr>
          <w:highlight w:val="lightGray"/>
        </w:rPr>
        <w:t>Administrator</w:t>
      </w:r>
      <w:r>
        <w:t xml:space="preserve">. </w:t>
      </w:r>
    </w:p>
    <w:p w14:paraId="5ABA7FF0" w14:textId="77777777" w:rsidR="00C679FD" w:rsidRDefault="00C679FD" w:rsidP="00C679FD"/>
    <w:p w14:paraId="3FCB1106" w14:textId="77777777" w:rsidR="00C679FD" w:rsidRDefault="00C679FD" w:rsidP="00C679FD">
      <w:r>
        <w:lastRenderedPageBreak/>
        <w:t xml:space="preserve">If a Complainant expects formal action in response to their allegations, reporting to any Mandated Reporter can connect them with resources to report alleged crimes and/or Policy violations, and these employees will immediately pass Notice to the </w:t>
      </w:r>
      <w:r w:rsidRPr="0091243B">
        <w:rPr>
          <w:highlight w:val="lightGray"/>
        </w:rPr>
        <w:t>Administrator</w:t>
      </w:r>
      <w:r>
        <w:t xml:space="preserve"> (and/or police, if desired by the Complainant or required by law), who will act when an incident is reported to them. </w:t>
      </w:r>
    </w:p>
    <w:p w14:paraId="6C58F02A" w14:textId="77777777" w:rsidR="00C679FD" w:rsidRDefault="00C679FD" w:rsidP="00C679FD"/>
    <w:p w14:paraId="2B02650F" w14:textId="77777777" w:rsidR="00C679FD" w:rsidRDefault="00C679FD" w:rsidP="00C679FD">
      <w:r>
        <w:t xml:space="preserve">The following sections describe the </w:t>
      </w:r>
      <w:r w:rsidRPr="00AB17D8">
        <w:rPr>
          <w:highlight w:val="lightGray"/>
        </w:rPr>
        <w:t>Recipient</w:t>
      </w:r>
      <w:r>
        <w:t>’s reporting options for a Complainant or third party (including parents/guardians when appropriate):</w:t>
      </w:r>
    </w:p>
    <w:p w14:paraId="15EBB636" w14:textId="77777777" w:rsidR="00C679FD" w:rsidRPr="007F6017" w:rsidRDefault="00C679FD" w:rsidP="00C679FD"/>
    <w:p w14:paraId="0EB9ED38" w14:textId="77777777" w:rsidR="00C679FD" w:rsidRDefault="00C679FD" w:rsidP="00C679FD">
      <w:pPr>
        <w:pStyle w:val="Heading2"/>
      </w:pPr>
      <w:bookmarkStart w:id="10" w:name="_Toc168477496"/>
      <w:r>
        <w:t>Confidential Employees</w:t>
      </w:r>
      <w:bookmarkEnd w:id="10"/>
    </w:p>
    <w:p w14:paraId="0DCE2848" w14:textId="4AB62490" w:rsidR="00C679FD" w:rsidRDefault="00C679FD" w:rsidP="00C679FD">
      <w:pPr>
        <w:ind w:left="720"/>
      </w:pPr>
      <w:r>
        <w:t xml:space="preserve">To enable Complainants to access support and resources without filing a Complaint, the </w:t>
      </w:r>
      <w:r w:rsidRPr="00AF4053">
        <w:rPr>
          <w:highlight w:val="lightGray"/>
        </w:rPr>
        <w:t>Recipient</w:t>
      </w:r>
      <w:r>
        <w:t xml:space="preserve"> has designated specific employees as Confidential Resources. Those designated by </w:t>
      </w:r>
      <w:r w:rsidRPr="003D5616">
        <w:rPr>
          <w:highlight w:val="lightGray"/>
        </w:rPr>
        <w:t>Recipient</w:t>
      </w:r>
      <w:r>
        <w:t xml:space="preserve"> as Confidential Resources are not required to report actual or suspected </w:t>
      </w:r>
      <w:r w:rsidR="00D92310">
        <w:t xml:space="preserve">discrimination, </w:t>
      </w:r>
      <w:r>
        <w:t xml:space="preserve">harassment, or retaliation in a way that identifies the Parties.  They will, however, provide the Complainant with the Title IX Coordinator’s contact information and offer options and resources without any obligation to inform an outside agency or </w:t>
      </w:r>
      <w:r w:rsidRPr="003D5616">
        <w:rPr>
          <w:highlight w:val="lightGray"/>
        </w:rPr>
        <w:t>Recipient</w:t>
      </w:r>
      <w:r>
        <w:t xml:space="preserve"> official unless a Complainant has requested the information be shared.</w:t>
      </w:r>
    </w:p>
    <w:p w14:paraId="38EC08B4" w14:textId="77777777" w:rsidR="00C679FD" w:rsidRDefault="00C679FD" w:rsidP="00C679FD">
      <w:pPr>
        <w:ind w:left="720"/>
      </w:pPr>
    </w:p>
    <w:p w14:paraId="5216C438" w14:textId="3A5B9BB6" w:rsidR="00C679FD" w:rsidRDefault="00C679FD" w:rsidP="00C679FD">
      <w:pPr>
        <w:ind w:left="720"/>
      </w:pPr>
      <w:r>
        <w:t>There are three categories of Confidential Employees: 1) Those with confidentiality bestowed by law or professional ethics, such as lawyers, medical professionals, clergy, and counselors</w:t>
      </w:r>
      <w:r w:rsidR="000C1BFA">
        <w:t>; 2</w:t>
      </w:r>
      <w:r>
        <w:t xml:space="preserve">) Those whom </w:t>
      </w:r>
      <w:r w:rsidRPr="003D5616">
        <w:rPr>
          <w:highlight w:val="lightGray"/>
        </w:rPr>
        <w:t>Recipient</w:t>
      </w:r>
      <w:r>
        <w:t xml:space="preserve"> has specifically designated as confidential for purposes of providing support and resources to the Complainant</w:t>
      </w:r>
      <w:r w:rsidR="002074DF">
        <w:t>;</w:t>
      </w:r>
      <w:r>
        <w:t xml:space="preserve"> and 3) Those conducting human subjects research as part of a study approved by the </w:t>
      </w:r>
      <w:r w:rsidRPr="003D5616">
        <w:rPr>
          <w:highlight w:val="lightGray"/>
        </w:rPr>
        <w:t>Recipient</w:t>
      </w:r>
      <w:r w:rsidRPr="00066AC0">
        <w:t>’s</w:t>
      </w:r>
      <w:r>
        <w:t xml:space="preserve"> Institutional Review Board (IRB). For those in category 1), above, to be able to respect confidentiality, they </w:t>
      </w:r>
      <w:r w:rsidR="000406BD">
        <w:t>must</w:t>
      </w:r>
      <w:r>
        <w:t xml:space="preserve"> be in a confidential relationship with the person reporting, such that they are within the scope of their licensure, professional ethics, or confidential role at the time of receiving the Notice. These individuals will maintain confidentiality </w:t>
      </w:r>
      <w:r w:rsidRPr="001C1815">
        <w:t>except in extreme cases of immediacy of threat or danger or abuse of a minor</w:t>
      </w:r>
      <w:r>
        <w:t xml:space="preserve">, </w:t>
      </w:r>
      <w:r w:rsidRPr="003D5616">
        <w:t>elder</w:t>
      </w:r>
      <w:r>
        <w:t xml:space="preserve">, or </w:t>
      </w:r>
      <w:r w:rsidRPr="003D5616">
        <w:t>individual with a disability</w:t>
      </w:r>
      <w:r w:rsidRPr="001C1815">
        <w:t>, or when required to disclose by law or court order.</w:t>
      </w:r>
      <w:r>
        <w:t xml:space="preserve"> </w:t>
      </w:r>
    </w:p>
    <w:p w14:paraId="4E728896" w14:textId="77777777" w:rsidR="00C679FD" w:rsidRDefault="00C679FD" w:rsidP="00C679FD"/>
    <w:p w14:paraId="1AEEC015" w14:textId="77777777" w:rsidR="00C679FD" w:rsidRDefault="00C679FD" w:rsidP="00C679FD">
      <w:pPr>
        <w:ind w:left="720"/>
      </w:pPr>
      <w:r>
        <w:t xml:space="preserve">If a Complainant would like the details of an incident to be kept confidential, the Complainant may speak with the following Confidential Employees: </w:t>
      </w:r>
    </w:p>
    <w:p w14:paraId="544B9415" w14:textId="77777777" w:rsidR="00C679FD" w:rsidRDefault="00C679FD" w:rsidP="00C679FD">
      <w:pPr>
        <w:ind w:left="720"/>
      </w:pPr>
    </w:p>
    <w:p w14:paraId="727CDB24" w14:textId="77777777" w:rsidR="00C679FD" w:rsidRDefault="00C679FD" w:rsidP="00C679FD">
      <w:pPr>
        <w:ind w:left="720"/>
        <w:rPr>
          <w:u w:val="single"/>
        </w:rPr>
      </w:pPr>
      <w:r w:rsidRPr="00F539C8">
        <w:rPr>
          <w:u w:val="single"/>
        </w:rPr>
        <w:t>Confidential Employees</w:t>
      </w:r>
    </w:p>
    <w:p w14:paraId="3AEFFB66" w14:textId="77777777" w:rsidR="00C679FD" w:rsidRPr="00F539C8" w:rsidRDefault="00C679FD" w:rsidP="00C679FD">
      <w:pPr>
        <w:ind w:left="720"/>
        <w:rPr>
          <w:u w:val="single"/>
        </w:rPr>
      </w:pPr>
    </w:p>
    <w:p w14:paraId="238C538B" w14:textId="77777777" w:rsidR="00C679FD" w:rsidRPr="007F6017" w:rsidRDefault="00C679FD" w:rsidP="005521DD">
      <w:pPr>
        <w:pStyle w:val="ListParagraph"/>
        <w:numPr>
          <w:ilvl w:val="0"/>
          <w:numId w:val="12"/>
        </w:numPr>
        <w:rPr>
          <w:highlight w:val="lightGray"/>
        </w:rPr>
      </w:pPr>
      <w:r w:rsidRPr="007F6017">
        <w:rPr>
          <w:highlight w:val="lightGray"/>
        </w:rPr>
        <w:t>[On-campus licensed professional counselors and staff]</w:t>
      </w:r>
    </w:p>
    <w:p w14:paraId="596DCD04" w14:textId="77777777" w:rsidR="00C679FD" w:rsidRPr="007F6017" w:rsidRDefault="00C679FD" w:rsidP="005521DD">
      <w:pPr>
        <w:pStyle w:val="ListParagraph"/>
        <w:numPr>
          <w:ilvl w:val="0"/>
          <w:numId w:val="12"/>
        </w:numPr>
        <w:rPr>
          <w:highlight w:val="lightGray"/>
        </w:rPr>
      </w:pPr>
      <w:r w:rsidRPr="007F6017">
        <w:rPr>
          <w:highlight w:val="lightGray"/>
        </w:rPr>
        <w:t>On-campus health service providers and staff</w:t>
      </w:r>
    </w:p>
    <w:p w14:paraId="645F0444" w14:textId="77777777" w:rsidR="00C679FD" w:rsidRPr="007F6017" w:rsidRDefault="00C679FD" w:rsidP="005521DD">
      <w:pPr>
        <w:pStyle w:val="ListParagraph"/>
        <w:numPr>
          <w:ilvl w:val="0"/>
          <w:numId w:val="12"/>
        </w:numPr>
        <w:rPr>
          <w:highlight w:val="lightGray"/>
        </w:rPr>
      </w:pPr>
      <w:r w:rsidRPr="007F6017">
        <w:rPr>
          <w:highlight w:val="lightGray"/>
        </w:rPr>
        <w:t>On-campus members of the clergy/chaplains working within the scope of their licensure or ordination</w:t>
      </w:r>
    </w:p>
    <w:p w14:paraId="2C33A189" w14:textId="77777777" w:rsidR="00C679FD" w:rsidRDefault="00C679FD" w:rsidP="00C679FD"/>
    <w:p w14:paraId="53C8CFC6" w14:textId="77777777" w:rsidR="00C679FD" w:rsidRDefault="00C679FD" w:rsidP="00C679FD">
      <w:pPr>
        <w:ind w:left="720"/>
        <w:rPr>
          <w:u w:val="single"/>
        </w:rPr>
      </w:pPr>
      <w:r w:rsidRPr="00F539C8">
        <w:rPr>
          <w:u w:val="single"/>
        </w:rPr>
        <w:t>Designated Confidential Employees</w:t>
      </w:r>
    </w:p>
    <w:p w14:paraId="59D7B1F3" w14:textId="77777777" w:rsidR="00C679FD" w:rsidRPr="00F539C8" w:rsidRDefault="00C679FD" w:rsidP="00C679FD">
      <w:pPr>
        <w:ind w:left="720"/>
        <w:rPr>
          <w:u w:val="single"/>
        </w:rPr>
      </w:pPr>
    </w:p>
    <w:p w14:paraId="42D29B02" w14:textId="77777777" w:rsidR="00C679FD" w:rsidRPr="007F6017" w:rsidRDefault="00C679FD" w:rsidP="005521DD">
      <w:pPr>
        <w:pStyle w:val="ListParagraph"/>
        <w:numPr>
          <w:ilvl w:val="0"/>
          <w:numId w:val="12"/>
        </w:numPr>
        <w:rPr>
          <w:highlight w:val="lightGray"/>
        </w:rPr>
      </w:pPr>
      <w:r w:rsidRPr="007F6017">
        <w:rPr>
          <w:highlight w:val="lightGray"/>
        </w:rPr>
        <w:t>On-campus Victim Advocates</w:t>
      </w:r>
    </w:p>
    <w:p w14:paraId="24916C80" w14:textId="77777777" w:rsidR="00C679FD" w:rsidRDefault="00C679FD" w:rsidP="005521DD">
      <w:pPr>
        <w:pStyle w:val="ListParagraph"/>
        <w:numPr>
          <w:ilvl w:val="0"/>
          <w:numId w:val="12"/>
        </w:numPr>
        <w:rPr>
          <w:highlight w:val="lightGray"/>
        </w:rPr>
      </w:pPr>
      <w:r w:rsidRPr="007F6017">
        <w:rPr>
          <w:highlight w:val="lightGray"/>
        </w:rPr>
        <w:lastRenderedPageBreak/>
        <w:t xml:space="preserve">Athletic trainers </w:t>
      </w:r>
    </w:p>
    <w:p w14:paraId="79FC3CFE" w14:textId="77777777" w:rsidR="00C679FD" w:rsidRDefault="00C679FD" w:rsidP="005521DD">
      <w:pPr>
        <w:pStyle w:val="ListParagraph"/>
        <w:numPr>
          <w:ilvl w:val="0"/>
          <w:numId w:val="12"/>
        </w:numPr>
        <w:rPr>
          <w:highlight w:val="lightGray"/>
        </w:rPr>
      </w:pPr>
      <w:r>
        <w:rPr>
          <w:highlight w:val="lightGray"/>
        </w:rPr>
        <w:t>Recipient Ombuds</w:t>
      </w:r>
    </w:p>
    <w:p w14:paraId="5CBCDBF3" w14:textId="01FD49BF" w:rsidR="00C679FD" w:rsidRDefault="00C679FD" w:rsidP="005521DD">
      <w:pPr>
        <w:pStyle w:val="ListParagraph"/>
        <w:numPr>
          <w:ilvl w:val="0"/>
          <w:numId w:val="12"/>
        </w:numPr>
        <w:rPr>
          <w:highlight w:val="lightGray"/>
        </w:rPr>
      </w:pPr>
      <w:r>
        <w:rPr>
          <w:highlight w:val="lightGray"/>
        </w:rPr>
        <w:t xml:space="preserve">Director of [Women’s Center, LGBTQIA </w:t>
      </w:r>
      <w:r w:rsidR="00AB7C6F">
        <w:rPr>
          <w:highlight w:val="lightGray"/>
        </w:rPr>
        <w:t>C</w:t>
      </w:r>
      <w:r>
        <w:rPr>
          <w:highlight w:val="lightGray"/>
        </w:rPr>
        <w:t xml:space="preserve">enter, International Student Services, Veteran’s Services, etc.] </w:t>
      </w:r>
    </w:p>
    <w:p w14:paraId="544EE6E6" w14:textId="77777777" w:rsidR="00C679FD" w:rsidRDefault="00C679FD" w:rsidP="00C679FD">
      <w:pPr>
        <w:ind w:left="720"/>
      </w:pPr>
      <w:r w:rsidRPr="003D5616">
        <w:tab/>
      </w:r>
    </w:p>
    <w:p w14:paraId="71FCD56D" w14:textId="77777777" w:rsidR="00C679FD" w:rsidRPr="00E52013" w:rsidRDefault="00C679FD" w:rsidP="00C679FD">
      <w:pPr>
        <w:ind w:left="720"/>
        <w:rPr>
          <w:highlight w:val="lightGray"/>
        </w:rPr>
      </w:pPr>
      <w:r>
        <w:rPr>
          <w:highlight w:val="lightGray"/>
        </w:rPr>
        <w:t>[</w:t>
      </w:r>
      <w:r w:rsidRPr="00E52013">
        <w:rPr>
          <w:highlight w:val="lightGray"/>
        </w:rPr>
        <w:t>Institutional counselors [and/or the Employee Assistance Program] are available to help free of charge and may be consulted on an emergency basis during normal business hours.</w:t>
      </w:r>
      <w:r>
        <w:rPr>
          <w:highlight w:val="lightGray"/>
        </w:rPr>
        <w:t>]</w:t>
      </w:r>
      <w:r w:rsidRPr="00E52013">
        <w:rPr>
          <w:highlight w:val="lightGray"/>
        </w:rPr>
        <w:t xml:space="preserve"> </w:t>
      </w:r>
    </w:p>
    <w:p w14:paraId="0B94A891" w14:textId="77777777" w:rsidR="00C679FD" w:rsidRPr="00E52013" w:rsidRDefault="00C679FD" w:rsidP="00C679FD">
      <w:pPr>
        <w:ind w:left="720"/>
        <w:rPr>
          <w:highlight w:val="lightGray"/>
        </w:rPr>
      </w:pPr>
    </w:p>
    <w:p w14:paraId="611380CA" w14:textId="77777777" w:rsidR="00C679FD" w:rsidRDefault="00C679FD" w:rsidP="00C679FD">
      <w:pPr>
        <w:ind w:left="720"/>
      </w:pPr>
      <w:r w:rsidRPr="00E52013">
        <w:rPr>
          <w:highlight w:val="lightGray"/>
        </w:rPr>
        <w:t xml:space="preserve">[Employees who have confidentiality as described above, and who receive </w:t>
      </w:r>
      <w:r>
        <w:rPr>
          <w:highlight w:val="lightGray"/>
        </w:rPr>
        <w:t>Notice</w:t>
      </w:r>
      <w:r w:rsidRPr="00E52013">
        <w:rPr>
          <w:highlight w:val="lightGray"/>
        </w:rPr>
        <w:t xml:space="preserve"> within the scope of their confidential roles will timely submit anonymous statistical information for Clery Act purposes unless they believe it would be harmful to their client, patient, or parishioner</w:t>
      </w:r>
      <w:r>
        <w:rPr>
          <w:highlight w:val="lightGray"/>
        </w:rPr>
        <w:t>.</w:t>
      </w:r>
      <w:r w:rsidRPr="00E52013">
        <w:rPr>
          <w:highlight w:val="lightGray"/>
        </w:rPr>
        <w:t>]</w:t>
      </w:r>
    </w:p>
    <w:p w14:paraId="4440B57A" w14:textId="77777777" w:rsidR="00C679FD" w:rsidRDefault="00C679FD" w:rsidP="00C679FD"/>
    <w:p w14:paraId="017ED8F9" w14:textId="416A1A58" w:rsidR="00C679FD" w:rsidRDefault="00C679FD" w:rsidP="00C679FD">
      <w:pPr>
        <w:ind w:left="720"/>
      </w:pPr>
      <w:r>
        <w:t xml:space="preserve">Failure of a Mandated Reporter, as described above in this section, to report an incident of </w:t>
      </w:r>
      <w:r w:rsidR="00D92310">
        <w:t>discrimination, harassment</w:t>
      </w:r>
      <w:r>
        <w:t xml:space="preserve">, or retaliation of which they become aware is a violation of </w:t>
      </w:r>
      <w:r w:rsidRPr="00342AC2">
        <w:rPr>
          <w:highlight w:val="lightGray"/>
        </w:rPr>
        <w:t>Recipient</w:t>
      </w:r>
      <w:r>
        <w:t xml:space="preserve"> Policy and can be subject to disciplinary action for failure to comply/failure to report. This also includes situations when a harasser is a Mandated Reporter. Such individuals are obligated to report their own misconduct, and failure to do so is a chargeable offense under this Policy.</w:t>
      </w:r>
    </w:p>
    <w:p w14:paraId="7A567F27" w14:textId="77777777" w:rsidR="00C679FD" w:rsidRDefault="00C679FD" w:rsidP="00C679FD">
      <w:pPr>
        <w:ind w:left="720"/>
      </w:pPr>
    </w:p>
    <w:p w14:paraId="6358EBEF" w14:textId="77777777" w:rsidR="00C679FD" w:rsidRDefault="00C679FD" w:rsidP="00C679FD">
      <w:pPr>
        <w:ind w:left="720"/>
      </w:pPr>
      <w:r>
        <w:t xml:space="preserve">A Mandated Reporter who is themselves a target of harassment or other misconduct under this Policy is not required to </w:t>
      </w:r>
      <w:proofErr w:type="gramStart"/>
      <w:r>
        <w:t>report</w:t>
      </w:r>
      <w:proofErr w:type="gramEnd"/>
      <w:r>
        <w:t xml:space="preserve"> their own experience, though they are, of course, encouraged to do so.</w:t>
      </w:r>
    </w:p>
    <w:p w14:paraId="65602349" w14:textId="77777777" w:rsidR="00C679FD" w:rsidRDefault="00C679FD" w:rsidP="00C679FD">
      <w:pPr>
        <w:ind w:left="720"/>
      </w:pPr>
    </w:p>
    <w:p w14:paraId="3436A434" w14:textId="3B5B6E1D" w:rsidR="00C679FD" w:rsidRPr="000406BD" w:rsidRDefault="000406BD" w:rsidP="00C679FD">
      <w:pPr>
        <w:ind w:left="720"/>
        <w:rPr>
          <w:rFonts w:asciiTheme="minorHAnsi" w:hAnsiTheme="minorHAnsi" w:cstheme="minorHAnsi"/>
        </w:rPr>
      </w:pPr>
      <w:r w:rsidRPr="000406BD">
        <w:rPr>
          <w:rFonts w:asciiTheme="minorHAnsi" w:eastAsiaTheme="minorHAnsi" w:hAnsiTheme="minorHAnsi" w:cstheme="minorHAnsi"/>
          <w:color w:val="000000"/>
        </w:rPr>
        <w:t xml:space="preserve">In addition, Complainants may speak with individuals unaffiliated with </w:t>
      </w:r>
      <w:r w:rsidRPr="000406BD">
        <w:rPr>
          <w:rFonts w:asciiTheme="minorHAnsi" w:eastAsiaTheme="minorHAnsi" w:hAnsiTheme="minorHAnsi" w:cstheme="minorHAnsi"/>
          <w:color w:val="000000"/>
          <w:highlight w:val="lightGray"/>
        </w:rPr>
        <w:t>Recipient</w:t>
      </w:r>
      <w:r w:rsidRPr="000406BD">
        <w:rPr>
          <w:rFonts w:asciiTheme="minorHAnsi" w:eastAsiaTheme="minorHAnsi" w:hAnsiTheme="minorHAnsi" w:cstheme="minorHAnsi"/>
          <w:color w:val="000000"/>
        </w:rPr>
        <w:t xml:space="preserve"> without concern that Policy will require them to disclose information to the institution without permission:</w:t>
      </w:r>
    </w:p>
    <w:p w14:paraId="2F461BF5" w14:textId="77777777" w:rsidR="00C679FD" w:rsidRPr="00426B93" w:rsidRDefault="00C679FD" w:rsidP="005521DD">
      <w:pPr>
        <w:pStyle w:val="ListParagraph"/>
        <w:numPr>
          <w:ilvl w:val="0"/>
          <w:numId w:val="49"/>
        </w:numPr>
      </w:pPr>
      <w:r w:rsidRPr="00426B93">
        <w:t>Licensed professional counselors and other medical providers</w:t>
      </w:r>
    </w:p>
    <w:p w14:paraId="2FAB6145" w14:textId="77777777" w:rsidR="00C679FD" w:rsidRPr="00426B93" w:rsidRDefault="00C679FD" w:rsidP="005521DD">
      <w:pPr>
        <w:pStyle w:val="ListParagraph"/>
        <w:numPr>
          <w:ilvl w:val="0"/>
          <w:numId w:val="49"/>
        </w:numPr>
      </w:pPr>
      <w:r w:rsidRPr="00426B93">
        <w:t>Local rape crisis counselors</w:t>
      </w:r>
    </w:p>
    <w:p w14:paraId="5CBF50AF" w14:textId="77777777" w:rsidR="00C679FD" w:rsidRPr="00426B93" w:rsidRDefault="00C679FD" w:rsidP="005521DD">
      <w:pPr>
        <w:pStyle w:val="ListParagraph"/>
        <w:numPr>
          <w:ilvl w:val="0"/>
          <w:numId w:val="49"/>
        </w:numPr>
      </w:pPr>
      <w:r w:rsidRPr="00426B93">
        <w:t xml:space="preserve">Domestic violence resources </w:t>
      </w:r>
    </w:p>
    <w:p w14:paraId="32872164" w14:textId="77777777" w:rsidR="00C679FD" w:rsidRPr="00426B93" w:rsidRDefault="00C679FD" w:rsidP="005521DD">
      <w:pPr>
        <w:pStyle w:val="ListParagraph"/>
        <w:numPr>
          <w:ilvl w:val="0"/>
          <w:numId w:val="49"/>
        </w:numPr>
      </w:pPr>
      <w:r w:rsidRPr="00426B93">
        <w:t xml:space="preserve">Local or state assistance agencies </w:t>
      </w:r>
    </w:p>
    <w:p w14:paraId="270CEBD6" w14:textId="77777777" w:rsidR="00F766D9" w:rsidRDefault="00C679FD" w:rsidP="005521DD">
      <w:pPr>
        <w:pStyle w:val="ListParagraph"/>
        <w:numPr>
          <w:ilvl w:val="0"/>
          <w:numId w:val="49"/>
        </w:numPr>
      </w:pPr>
      <w:r w:rsidRPr="00426B93">
        <w:t>Clergy/Chaplains</w:t>
      </w:r>
    </w:p>
    <w:p w14:paraId="7CEB9718" w14:textId="454086CE" w:rsidR="00C679FD" w:rsidRDefault="00C679FD" w:rsidP="005521DD">
      <w:pPr>
        <w:pStyle w:val="ListParagraph"/>
        <w:numPr>
          <w:ilvl w:val="0"/>
          <w:numId w:val="49"/>
        </w:numPr>
      </w:pPr>
      <w:r w:rsidRPr="00426B93">
        <w:t>Attorneys</w:t>
      </w:r>
      <w:r w:rsidR="000A6897">
        <w:br/>
      </w:r>
    </w:p>
    <w:p w14:paraId="71536302" w14:textId="57B2AEDF" w:rsidR="0006108F" w:rsidRPr="00ED3CAB" w:rsidRDefault="004457E9" w:rsidP="00F539C8">
      <w:pPr>
        <w:pStyle w:val="Heading1"/>
      </w:pPr>
      <w:bookmarkStart w:id="11" w:name="_Toc168477497"/>
      <w:r w:rsidRPr="00ED3CAB">
        <w:t>Disability-based Grievances and Complaints</w:t>
      </w:r>
      <w:bookmarkEnd w:id="11"/>
    </w:p>
    <w:p w14:paraId="01B9008D" w14:textId="77777777" w:rsidR="004457E9" w:rsidRPr="00ED3CAB" w:rsidRDefault="004457E9" w:rsidP="00BA59AD"/>
    <w:p w14:paraId="0B895C34" w14:textId="31D910C6" w:rsidR="00BA59AD" w:rsidRPr="00ED3CAB" w:rsidRDefault="00BA59AD" w:rsidP="00BA59AD">
      <w:r w:rsidRPr="00ED3CAB">
        <w:t xml:space="preserve">Grievances related to disability status and/or provision of accommodations are addressed using the procedures in </w:t>
      </w:r>
      <w:r w:rsidRPr="00CE21EA">
        <w:rPr>
          <w:highlight w:val="lightGray"/>
        </w:rPr>
        <w:t>&lt;&lt;</w:t>
      </w:r>
      <w:r w:rsidR="004A541A" w:rsidRPr="00CE21EA">
        <w:rPr>
          <w:highlight w:val="lightGray"/>
        </w:rPr>
        <w:t>p</w:t>
      </w:r>
      <w:r w:rsidRPr="00CE21EA">
        <w:rPr>
          <w:highlight w:val="lightGray"/>
        </w:rPr>
        <w:t>olicy&gt;&gt;</w:t>
      </w:r>
      <w:r w:rsidRPr="00ED3CAB">
        <w:t xml:space="preserve">. </w:t>
      </w:r>
      <w:r w:rsidR="004457E9" w:rsidRPr="00ED3CAB">
        <w:t>However, a</w:t>
      </w:r>
      <w:r w:rsidRPr="00ED3CAB">
        <w:t xml:space="preserve">llegations of discrimination </w:t>
      </w:r>
      <w:proofErr w:type="gramStart"/>
      <w:r w:rsidRPr="00ED3CAB">
        <w:t>on the basis of</w:t>
      </w:r>
      <w:proofErr w:type="gramEnd"/>
      <w:r w:rsidRPr="00ED3CAB">
        <w:t xml:space="preserve"> an actual or perceived disability, including instances in which the provision of reasonable </w:t>
      </w:r>
      <w:proofErr w:type="gramStart"/>
      <w:r w:rsidRPr="00ED3CAB">
        <w:t>accommodations</w:t>
      </w:r>
      <w:proofErr w:type="gramEnd"/>
      <w:r w:rsidRPr="00ED3CAB">
        <w:t xml:space="preserve"> has a discriminatory effect, will be resolved under the </w:t>
      </w:r>
      <w:r w:rsidR="00B549AA" w:rsidRPr="00B549AA">
        <w:rPr>
          <w:highlight w:val="lightGray"/>
        </w:rPr>
        <w:t>&lt;&lt;</w:t>
      </w:r>
      <w:r w:rsidRPr="00B549AA">
        <w:rPr>
          <w:highlight w:val="lightGray"/>
        </w:rPr>
        <w:t xml:space="preserve"> </w:t>
      </w:r>
      <w:r w:rsidR="00CE21EA">
        <w:rPr>
          <w:highlight w:val="lightGray"/>
        </w:rPr>
        <w:t>p</w:t>
      </w:r>
      <w:r w:rsidRPr="00B549AA">
        <w:rPr>
          <w:highlight w:val="lightGray"/>
        </w:rPr>
        <w:t>rocedures</w:t>
      </w:r>
      <w:r w:rsidR="00B549AA" w:rsidRPr="00B549AA">
        <w:rPr>
          <w:highlight w:val="lightGray"/>
        </w:rPr>
        <w:t>&gt;&gt;</w:t>
      </w:r>
      <w:r w:rsidRPr="00ED3CAB">
        <w:t xml:space="preserve">.  </w:t>
      </w:r>
    </w:p>
    <w:p w14:paraId="4FA075FF" w14:textId="77777777" w:rsidR="0006108F" w:rsidRPr="00ED3CAB" w:rsidRDefault="0006108F" w:rsidP="0006108F"/>
    <w:p w14:paraId="2B0ECD33" w14:textId="331C5B94" w:rsidR="0006108F" w:rsidRDefault="0006108F" w:rsidP="0006108F">
      <w:r w:rsidRPr="00ED3CAB">
        <w:lastRenderedPageBreak/>
        <w:t xml:space="preserve">For details relating to disability accommodations in the </w:t>
      </w:r>
      <w:r w:rsidRPr="00AF4053">
        <w:rPr>
          <w:highlight w:val="lightGray"/>
        </w:rPr>
        <w:t>Recipient</w:t>
      </w:r>
      <w:r w:rsidRPr="00ED3CAB">
        <w:t xml:space="preserve">’s Resolution Process, </w:t>
      </w:r>
      <w:r w:rsidR="004A541A" w:rsidRPr="004A541A">
        <w:rPr>
          <w:highlight w:val="lightGray"/>
        </w:rPr>
        <w:t>&lt;&lt;</w:t>
      </w:r>
      <w:r w:rsidR="000A6897">
        <w:rPr>
          <w:highlight w:val="lightGray"/>
        </w:rPr>
        <w:t>link</w:t>
      </w:r>
      <w:r w:rsidR="004A541A" w:rsidRPr="004A541A">
        <w:rPr>
          <w:highlight w:val="lightGray"/>
        </w:rPr>
        <w:t>&gt;&gt;</w:t>
      </w:r>
      <w:r w:rsidR="00722CC7">
        <w:t>.</w:t>
      </w:r>
    </w:p>
    <w:p w14:paraId="71E2D57F" w14:textId="77777777" w:rsidR="0006108F" w:rsidRPr="00384C69" w:rsidRDefault="0006108F" w:rsidP="0006108F"/>
    <w:p w14:paraId="008D048E" w14:textId="4FEF2755" w:rsidR="00F46D04" w:rsidRDefault="00F46D04" w:rsidP="00021C70">
      <w:pPr>
        <w:pStyle w:val="Heading1"/>
      </w:pPr>
      <w:bookmarkStart w:id="12" w:name="_Toc168477498"/>
      <w:r>
        <w:t>Scope</w:t>
      </w:r>
      <w:bookmarkEnd w:id="2"/>
      <w:bookmarkEnd w:id="3"/>
      <w:bookmarkEnd w:id="12"/>
    </w:p>
    <w:p w14:paraId="1E227FB5" w14:textId="7BD93452" w:rsidR="007609A7" w:rsidRDefault="007609A7" w:rsidP="007609A7"/>
    <w:p w14:paraId="5560D839" w14:textId="0D85FCFE" w:rsidR="00F54570" w:rsidRDefault="00F54570" w:rsidP="00F54570">
      <w:r w:rsidRPr="00ED3CAB">
        <w:t xml:space="preserve">This Policy is only applicable to alleged incidents that occur after August 1, 2024. For alleged incidents </w:t>
      </w:r>
      <w:r w:rsidR="00BC4B10" w:rsidRPr="00ED3CAB">
        <w:t xml:space="preserve">of sexual harassment </w:t>
      </w:r>
      <w:r w:rsidR="0050502A">
        <w:t>occurring</w:t>
      </w:r>
      <w:r w:rsidRPr="00ED3CAB">
        <w:t xml:space="preserve"> prior to August 1, 2024, the policy and procedures in place at the time of the alleged incident appl</w:t>
      </w:r>
      <w:r w:rsidR="002B2E6B" w:rsidRPr="00ED3CAB">
        <w:t>y</w:t>
      </w:r>
      <w:r w:rsidRPr="00ED3CAB">
        <w:t xml:space="preserve">. Applicable versions of those policies </w:t>
      </w:r>
      <w:r w:rsidR="001A6D20" w:rsidRPr="00ED3CAB">
        <w:t xml:space="preserve">and procedures </w:t>
      </w:r>
      <w:r w:rsidRPr="00ED3CAB">
        <w:t xml:space="preserve">are available from the </w:t>
      </w:r>
      <w:r w:rsidRPr="00AF4053">
        <w:rPr>
          <w:highlight w:val="lightGray"/>
        </w:rPr>
        <w:t>Administrator</w:t>
      </w:r>
      <w:r w:rsidRPr="00ED3CAB">
        <w:t xml:space="preserve"> and at this </w:t>
      </w:r>
      <w:r w:rsidR="0050502A" w:rsidRPr="00AF4053">
        <w:rPr>
          <w:highlight w:val="lightGray"/>
        </w:rPr>
        <w:t>&lt;&lt;</w:t>
      </w:r>
      <w:r w:rsidRPr="00AF4053">
        <w:rPr>
          <w:highlight w:val="lightGray"/>
        </w:rPr>
        <w:t>link</w:t>
      </w:r>
      <w:r w:rsidR="0050502A" w:rsidRPr="00AF4053">
        <w:rPr>
          <w:highlight w:val="lightGray"/>
        </w:rPr>
        <w:t>&gt;&gt;</w:t>
      </w:r>
      <w:r w:rsidRPr="00AF4053">
        <w:rPr>
          <w:highlight w:val="lightGray"/>
        </w:rPr>
        <w:t>.</w:t>
      </w:r>
    </w:p>
    <w:p w14:paraId="2B8A808B" w14:textId="77777777" w:rsidR="00F54570" w:rsidRDefault="00F54570" w:rsidP="007609A7"/>
    <w:p w14:paraId="0366416D" w14:textId="3A961AAF" w:rsidR="00C941A0" w:rsidRDefault="00C941A0" w:rsidP="007609A7">
      <w:r>
        <w:t xml:space="preserve">This Policy applies to all </w:t>
      </w:r>
      <w:r w:rsidR="004448B8">
        <w:t xml:space="preserve">faculty, employees, </w:t>
      </w:r>
      <w:r>
        <w:t xml:space="preserve">students, and other individuals participating in or </w:t>
      </w:r>
      <w:r w:rsidR="00237DD8">
        <w:t>attempting</w:t>
      </w:r>
      <w:r>
        <w:t xml:space="preserve"> to participate in the </w:t>
      </w:r>
      <w:r w:rsidRPr="00EB1F93">
        <w:rPr>
          <w:highlight w:val="lightGray"/>
        </w:rPr>
        <w:t>Recipien</w:t>
      </w:r>
      <w:r w:rsidRPr="00EA2CE9">
        <w:rPr>
          <w:highlight w:val="lightGray"/>
        </w:rPr>
        <w:t>t</w:t>
      </w:r>
      <w:r w:rsidRPr="00066AC0">
        <w:t>’s</w:t>
      </w:r>
      <w:r>
        <w:t xml:space="preserve"> program or activities, including education and employment.</w:t>
      </w:r>
    </w:p>
    <w:p w14:paraId="5949235B" w14:textId="77777777" w:rsidR="00C941A0" w:rsidRDefault="00C941A0" w:rsidP="007609A7"/>
    <w:p w14:paraId="543A13CF" w14:textId="06145C6C" w:rsidR="007609A7" w:rsidRDefault="007609A7" w:rsidP="007609A7">
      <w:r>
        <w:t>Th</w:t>
      </w:r>
      <w:r w:rsidR="00237DD8">
        <w:t xml:space="preserve">is </w:t>
      </w:r>
      <w:r w:rsidR="00556530">
        <w:t>P</w:t>
      </w:r>
      <w:r w:rsidR="00237DD8">
        <w:t>olicy</w:t>
      </w:r>
      <w:r>
        <w:t xml:space="preserve"> prohibit</w:t>
      </w:r>
      <w:r w:rsidR="00237DD8">
        <w:t>s</w:t>
      </w:r>
      <w:r>
        <w:t xml:space="preserve"> all forms of discrimination</w:t>
      </w:r>
      <w:r w:rsidR="00237DD8">
        <w:t xml:space="preserve"> </w:t>
      </w:r>
      <w:proofErr w:type="gramStart"/>
      <w:r w:rsidR="00237DD8">
        <w:t>on the basis of</w:t>
      </w:r>
      <w:proofErr w:type="gramEnd"/>
      <w:r w:rsidR="00237DD8">
        <w:t xml:space="preserve"> the protected c</w:t>
      </w:r>
      <w:r w:rsidR="007A03BF">
        <w:t>haracteristic(s)</w:t>
      </w:r>
      <w:r w:rsidR="00237DD8">
        <w:t xml:space="preserve"> listed in the Notice of Nondiscrimination</w:t>
      </w:r>
      <w:r>
        <w:t xml:space="preserve">. </w:t>
      </w:r>
      <w:r w:rsidR="00F908DB">
        <w:t xml:space="preserve">The </w:t>
      </w:r>
      <w:r w:rsidR="00F908DB" w:rsidRPr="00ED3CAB">
        <w:rPr>
          <w:highlight w:val="lightGray"/>
        </w:rPr>
        <w:t>Equal Opportunity, Harassment</w:t>
      </w:r>
      <w:r w:rsidR="00556530" w:rsidRPr="00ED3CAB">
        <w:rPr>
          <w:highlight w:val="lightGray"/>
        </w:rPr>
        <w:t>,</w:t>
      </w:r>
      <w:r w:rsidR="00F908DB" w:rsidRPr="00ED3CAB">
        <w:rPr>
          <w:highlight w:val="lightGray"/>
        </w:rPr>
        <w:t xml:space="preserve"> and Nondiscrimination</w:t>
      </w:r>
      <w:r w:rsidR="00F908DB">
        <w:t xml:space="preserve"> Procedures may be applie</w:t>
      </w:r>
      <w:r w:rsidR="0017676F">
        <w:t>d</w:t>
      </w:r>
      <w:r w:rsidR="00F908DB">
        <w:t xml:space="preserve"> to incidents, to patterns, and/or to the institutional culture/climate, all of which may be addressed in accordance with this Policy. </w:t>
      </w:r>
    </w:p>
    <w:p w14:paraId="1ADD2692" w14:textId="77777777" w:rsidR="007609A7" w:rsidRPr="007609A7" w:rsidRDefault="007609A7" w:rsidP="007609A7"/>
    <w:p w14:paraId="17E4F123" w14:textId="77777777" w:rsidR="00F25BC1" w:rsidRDefault="00F25BC1" w:rsidP="00021C70">
      <w:pPr>
        <w:pStyle w:val="Heading1"/>
      </w:pPr>
      <w:bookmarkStart w:id="13" w:name="_Toc82511617"/>
      <w:bookmarkStart w:id="14" w:name="_Toc102393940"/>
      <w:bookmarkStart w:id="15" w:name="_Toc168477499"/>
      <w:bookmarkStart w:id="16" w:name="_Toc82511609"/>
      <w:bookmarkStart w:id="17" w:name="_Toc102393932"/>
      <w:r>
        <w:t>Jurisdiction</w:t>
      </w:r>
      <w:bookmarkEnd w:id="13"/>
      <w:bookmarkEnd w:id="14"/>
      <w:bookmarkEnd w:id="15"/>
    </w:p>
    <w:p w14:paraId="4503961E" w14:textId="77777777" w:rsidR="00F25BC1" w:rsidRDefault="00F25BC1" w:rsidP="00F25BC1"/>
    <w:p w14:paraId="35A2E4E6" w14:textId="562A518E" w:rsidR="00F25BC1" w:rsidRDefault="00F25BC1" w:rsidP="00F25BC1">
      <w:r>
        <w:t xml:space="preserve">This Policy applies to the </w:t>
      </w:r>
      <w:r w:rsidRPr="00D10556">
        <w:rPr>
          <w:highlight w:val="lightGray"/>
        </w:rPr>
        <w:t>Recipient</w:t>
      </w:r>
      <w:r>
        <w:t>’s education program</w:t>
      </w:r>
      <w:r w:rsidR="00262170">
        <w:t>s</w:t>
      </w:r>
      <w:r>
        <w:t xml:space="preserve"> and </w:t>
      </w:r>
      <w:r w:rsidR="00EF59F9">
        <w:t>activit</w:t>
      </w:r>
      <w:r w:rsidR="00262170">
        <w:t>ies</w:t>
      </w:r>
      <w:r w:rsidR="00905442">
        <w:t xml:space="preserve"> (defined as </w:t>
      </w:r>
      <w:r w:rsidR="00EF59F9">
        <w:t>including locations, events</w:t>
      </w:r>
      <w:r w:rsidR="00905442">
        <w:t>,</w:t>
      </w:r>
      <w:r w:rsidR="00EF59F9">
        <w:t xml:space="preserve"> or circumstances in which the Recipient exercises substantial control over both the Respondent and the context in which the conduct occurred</w:t>
      </w:r>
      <w:r w:rsidR="00905442">
        <w:t>)</w:t>
      </w:r>
      <w:r w:rsidR="00EF59F9">
        <w:t xml:space="preserve">, </w:t>
      </w:r>
      <w:r w:rsidR="00262170">
        <w:t xml:space="preserve">circumstances where the </w:t>
      </w:r>
      <w:r w:rsidR="00230E8D" w:rsidRPr="00F539C8">
        <w:rPr>
          <w:highlight w:val="lightGray"/>
        </w:rPr>
        <w:t>Recipient</w:t>
      </w:r>
      <w:r w:rsidR="00262170">
        <w:t xml:space="preserve"> has disciplinary </w:t>
      </w:r>
      <w:r w:rsidR="00BC4CA4">
        <w:t>authority,</w:t>
      </w:r>
      <w:r w:rsidR="00262170">
        <w:t xml:space="preserve"> </w:t>
      </w:r>
      <w:r w:rsidR="00EF59F9">
        <w:t xml:space="preserve">and to </w:t>
      </w:r>
      <w:r w:rsidR="00905442">
        <w:t>mis</w:t>
      </w:r>
      <w:r w:rsidR="00EF59F9">
        <w:t xml:space="preserve">conduct occurring within any building owned or controlled by a </w:t>
      </w:r>
      <w:r w:rsidR="00EF59F9" w:rsidRPr="00ED3CAB">
        <w:rPr>
          <w:highlight w:val="lightGray"/>
        </w:rPr>
        <w:t>Recipient</w:t>
      </w:r>
      <w:r w:rsidR="00EF59F9">
        <w:t>-recognized student organization.</w:t>
      </w:r>
      <w:r w:rsidR="00EF59F9" w:rsidDel="00EF59F9">
        <w:t xml:space="preserve"> </w:t>
      </w:r>
      <w:r w:rsidR="00464B3D" w:rsidRPr="00ED3CAB">
        <w:rPr>
          <w:highlight w:val="lightGray"/>
        </w:rPr>
        <w:t xml:space="preserve">[A Complainant does not have to be a member of the Recipient community to file a </w:t>
      </w:r>
      <w:r w:rsidR="00F240C0">
        <w:rPr>
          <w:highlight w:val="lightGray"/>
        </w:rPr>
        <w:t>Complaint</w:t>
      </w:r>
      <w:r w:rsidR="00464B3D" w:rsidRPr="00ED3CAB">
        <w:rPr>
          <w:highlight w:val="lightGray"/>
        </w:rPr>
        <w:t>, at the discretion of Administrator.]</w:t>
      </w:r>
    </w:p>
    <w:p w14:paraId="453429E4" w14:textId="0196CB1A" w:rsidR="00F25BC1" w:rsidRDefault="00F25BC1" w:rsidP="00F25BC1"/>
    <w:p w14:paraId="7D37DD9A" w14:textId="77D4DCDB" w:rsidR="00F25BC1" w:rsidRPr="00ED3CAB" w:rsidRDefault="00F25BC1" w:rsidP="00F25BC1">
      <w:pPr>
        <w:rPr>
          <w:highlight w:val="lightGray"/>
        </w:rPr>
      </w:pPr>
      <w:r>
        <w:t xml:space="preserve">This Policy </w:t>
      </w:r>
      <w:r w:rsidR="00EF59F9">
        <w:t>may</w:t>
      </w:r>
      <w:r>
        <w:t xml:space="preserve"> </w:t>
      </w:r>
      <w:r w:rsidR="00D659D3">
        <w:t xml:space="preserve">also </w:t>
      </w:r>
      <w:r w:rsidR="00EF59F9">
        <w:t xml:space="preserve">apply </w:t>
      </w:r>
      <w:r>
        <w:t xml:space="preserve">to the effects of off-campus misconduct that </w:t>
      </w:r>
      <w:r w:rsidR="0017676F">
        <w:t>limit or den</w:t>
      </w:r>
      <w:r w:rsidR="00D659D3">
        <w:t>y</w:t>
      </w:r>
      <w:r>
        <w:t xml:space="preserve"> a person</w:t>
      </w:r>
      <w:r w:rsidR="00D659D3">
        <w:t>’s</w:t>
      </w:r>
      <w:r>
        <w:t xml:space="preserve"> access to </w:t>
      </w:r>
      <w:r w:rsidRPr="00D10556">
        <w:rPr>
          <w:highlight w:val="lightGray"/>
        </w:rPr>
        <w:t>Recipient</w:t>
      </w:r>
      <w:r>
        <w:t xml:space="preserve">’s education program or activities. </w:t>
      </w:r>
      <w:r w:rsidR="00D659D3" w:rsidRPr="00ED3CAB">
        <w:rPr>
          <w:highlight w:val="lightGray"/>
        </w:rPr>
        <w:t>[</w:t>
      </w:r>
      <w:r w:rsidRPr="00ED3CAB">
        <w:rPr>
          <w:highlight w:val="lightGray"/>
        </w:rPr>
        <w:t xml:space="preserve">The </w:t>
      </w:r>
      <w:r w:rsidRPr="00D659D3">
        <w:rPr>
          <w:highlight w:val="lightGray"/>
        </w:rPr>
        <w:t>Recipient</w:t>
      </w:r>
      <w:r w:rsidRPr="00ED3CAB">
        <w:rPr>
          <w:highlight w:val="lightGray"/>
        </w:rPr>
        <w:t xml:space="preserve"> may also extend jurisdiction to off-campus and/or to online conduct when the conduct affects a substantial </w:t>
      </w:r>
      <w:r w:rsidRPr="00D659D3">
        <w:rPr>
          <w:highlight w:val="lightGray"/>
        </w:rPr>
        <w:t>Recipient</w:t>
      </w:r>
      <w:r w:rsidRPr="00ED3CAB">
        <w:rPr>
          <w:highlight w:val="lightGray"/>
        </w:rPr>
        <w:t xml:space="preserve"> interest. </w:t>
      </w:r>
    </w:p>
    <w:p w14:paraId="633D4B9D" w14:textId="77777777" w:rsidR="00F25BC1" w:rsidRPr="00ED3CAB" w:rsidRDefault="00F25BC1" w:rsidP="00F25BC1">
      <w:pPr>
        <w:rPr>
          <w:highlight w:val="lightGray"/>
        </w:rPr>
      </w:pPr>
    </w:p>
    <w:p w14:paraId="418AAAD0" w14:textId="2D9BEE6D" w:rsidR="00F25BC1" w:rsidRPr="00ED3CAB" w:rsidRDefault="00F25BC1" w:rsidP="00F25BC1">
      <w:pPr>
        <w:rPr>
          <w:highlight w:val="lightGray"/>
        </w:rPr>
      </w:pPr>
      <w:r w:rsidRPr="00ED3CAB">
        <w:rPr>
          <w:highlight w:val="lightGray"/>
        </w:rPr>
        <w:t xml:space="preserve">A substantial </w:t>
      </w:r>
      <w:r w:rsidRPr="00D659D3">
        <w:rPr>
          <w:highlight w:val="lightGray"/>
        </w:rPr>
        <w:t>Recipient</w:t>
      </w:r>
      <w:r w:rsidRPr="00ED3CAB">
        <w:rPr>
          <w:highlight w:val="lightGray"/>
        </w:rPr>
        <w:t xml:space="preserve"> interest includes:</w:t>
      </w:r>
      <w:r w:rsidRPr="00ED3CAB">
        <w:rPr>
          <w:highlight w:val="lightGray"/>
        </w:rPr>
        <w:br/>
      </w:r>
    </w:p>
    <w:p w14:paraId="2FFCD7C9" w14:textId="024D34B2" w:rsidR="00F25BC1" w:rsidRPr="00096510" w:rsidRDefault="00F25BC1" w:rsidP="00AF4053">
      <w:pPr>
        <w:pStyle w:val="ListParagraph"/>
        <w:numPr>
          <w:ilvl w:val="0"/>
          <w:numId w:val="4"/>
        </w:numPr>
        <w:rPr>
          <w:highlight w:val="lightGray"/>
        </w:rPr>
      </w:pPr>
      <w:r w:rsidRPr="00ED3CAB">
        <w:rPr>
          <w:highlight w:val="lightGray"/>
        </w:rPr>
        <w:t>Any action that constitutes a criminal offense as defined by law. This includes, but is not limited to, single or repeat violations of any local, state, or federal law.</w:t>
      </w:r>
    </w:p>
    <w:p w14:paraId="1C91A852" w14:textId="66EB3959" w:rsidR="00F25BC1" w:rsidRPr="00096510" w:rsidRDefault="00F25BC1" w:rsidP="00AF4053">
      <w:pPr>
        <w:pStyle w:val="ListParagraph"/>
        <w:numPr>
          <w:ilvl w:val="0"/>
          <w:numId w:val="4"/>
        </w:numPr>
        <w:rPr>
          <w:highlight w:val="lightGray"/>
        </w:rPr>
      </w:pPr>
      <w:r w:rsidRPr="00ED3CAB">
        <w:rPr>
          <w:highlight w:val="lightGray"/>
        </w:rPr>
        <w:t>Any situation in which it is determined that the Respondent poses an immediate threat to the physical health or safety of any student, employee, or other individual.</w:t>
      </w:r>
    </w:p>
    <w:p w14:paraId="78C48BDF" w14:textId="6903FD60" w:rsidR="00F25BC1" w:rsidRPr="00096510" w:rsidRDefault="00F25BC1" w:rsidP="00AF4053">
      <w:pPr>
        <w:pStyle w:val="ListParagraph"/>
        <w:numPr>
          <w:ilvl w:val="0"/>
          <w:numId w:val="4"/>
        </w:numPr>
        <w:rPr>
          <w:highlight w:val="lightGray"/>
        </w:rPr>
      </w:pPr>
      <w:r w:rsidRPr="00ED3CAB">
        <w:rPr>
          <w:highlight w:val="lightGray"/>
        </w:rPr>
        <w:t xml:space="preserve">Any situation that significantly impinges upon the rights, property, or achievements of others, significantly breaches </w:t>
      </w:r>
      <w:proofErr w:type="gramStart"/>
      <w:r w:rsidRPr="00ED3CAB">
        <w:rPr>
          <w:highlight w:val="lightGray"/>
        </w:rPr>
        <w:t>the peace</w:t>
      </w:r>
      <w:proofErr w:type="gramEnd"/>
      <w:r w:rsidRPr="00ED3CAB">
        <w:rPr>
          <w:highlight w:val="lightGray"/>
        </w:rPr>
        <w:t>, and/or causes social disorder.</w:t>
      </w:r>
    </w:p>
    <w:p w14:paraId="2736E0ED" w14:textId="4B0B5BA8" w:rsidR="00F25BC1" w:rsidRPr="00ED3CAB" w:rsidRDefault="00F25BC1" w:rsidP="00E67059">
      <w:pPr>
        <w:pStyle w:val="ListParagraph"/>
        <w:numPr>
          <w:ilvl w:val="0"/>
          <w:numId w:val="4"/>
        </w:numPr>
        <w:rPr>
          <w:highlight w:val="lightGray"/>
        </w:rPr>
      </w:pPr>
      <w:r w:rsidRPr="00ED3CAB">
        <w:rPr>
          <w:highlight w:val="lightGray"/>
        </w:rPr>
        <w:t>Any situation that substantially interferes with the</w:t>
      </w:r>
      <w:r w:rsidR="00885803" w:rsidRPr="00ED3CAB">
        <w:rPr>
          <w:highlight w:val="lightGray"/>
        </w:rPr>
        <w:t xml:space="preserve"> </w:t>
      </w:r>
      <w:r w:rsidR="00885803" w:rsidRPr="00D659D3">
        <w:rPr>
          <w:highlight w:val="lightGray"/>
        </w:rPr>
        <w:t>Recipient</w:t>
      </w:r>
      <w:r w:rsidR="00885803" w:rsidRPr="00ED3CAB">
        <w:rPr>
          <w:highlight w:val="lightGray"/>
        </w:rPr>
        <w:t>’s</w:t>
      </w:r>
      <w:r w:rsidRPr="00ED3CAB">
        <w:rPr>
          <w:highlight w:val="lightGray"/>
        </w:rPr>
        <w:t xml:space="preserve"> educational interests or mission</w:t>
      </w:r>
      <w:r w:rsidR="00D659D3" w:rsidRPr="00ED3CAB">
        <w:rPr>
          <w:highlight w:val="lightGray"/>
        </w:rPr>
        <w:t>]</w:t>
      </w:r>
      <w:r w:rsidRPr="00ED3CAB">
        <w:rPr>
          <w:highlight w:val="lightGray"/>
        </w:rPr>
        <w:t>.</w:t>
      </w:r>
    </w:p>
    <w:p w14:paraId="7F5FA1C3" w14:textId="77777777" w:rsidR="00F25BC1" w:rsidRDefault="00F25BC1" w:rsidP="00F25BC1"/>
    <w:p w14:paraId="12CDA27D" w14:textId="591C27E3" w:rsidR="00F25BC1" w:rsidRDefault="00885803" w:rsidP="00F25BC1">
      <w:r>
        <w:lastRenderedPageBreak/>
        <w:t xml:space="preserve">For disciplinary action to be issued under this Policy, the Respondent must be a </w:t>
      </w:r>
      <w:r w:rsidR="0002078C" w:rsidRPr="0002078C">
        <w:rPr>
          <w:highlight w:val="lightGray"/>
        </w:rPr>
        <w:t>Recipient</w:t>
      </w:r>
      <w:r w:rsidR="0002078C">
        <w:t xml:space="preserve"> faculty member, student, or employee</w:t>
      </w:r>
      <w:r>
        <w:t xml:space="preserve"> at the time of the </w:t>
      </w:r>
      <w:r w:rsidR="0002078C">
        <w:t>alleged incident.</w:t>
      </w:r>
      <w:r>
        <w:t xml:space="preserve"> </w:t>
      </w:r>
      <w:r w:rsidR="00F25BC1">
        <w:t xml:space="preserve">If the Respondent is unknown or is not a member of the </w:t>
      </w:r>
      <w:r w:rsidR="00F25BC1" w:rsidRPr="00D10556">
        <w:rPr>
          <w:highlight w:val="lightGray"/>
        </w:rPr>
        <w:t>Recipient</w:t>
      </w:r>
      <w:r w:rsidR="00F25BC1">
        <w:t xml:space="preserve"> community, the </w:t>
      </w:r>
      <w:r w:rsidRPr="009E69A4">
        <w:rPr>
          <w:highlight w:val="lightGray"/>
        </w:rPr>
        <w:t>Administrator</w:t>
      </w:r>
      <w:r w:rsidR="00F25BC1">
        <w:t xml:space="preserve"> will </w:t>
      </w:r>
      <w:r w:rsidR="0002078C">
        <w:t xml:space="preserve">offer to </w:t>
      </w:r>
      <w:r w:rsidR="00F25BC1">
        <w:t xml:space="preserve">assist the Complainant in identifying appropriate institutional and local resources and support </w:t>
      </w:r>
      <w:proofErr w:type="gramStart"/>
      <w:r w:rsidR="00F25BC1">
        <w:t>option</w:t>
      </w:r>
      <w:r w:rsidR="00E13F49">
        <w:t>s</w:t>
      </w:r>
      <w:r w:rsidR="004457E9">
        <w:t>, and</w:t>
      </w:r>
      <w:proofErr w:type="gramEnd"/>
      <w:r w:rsidR="004457E9">
        <w:t xml:space="preserve"> </w:t>
      </w:r>
      <w:r w:rsidR="00E13F49">
        <w:t xml:space="preserve">will implement </w:t>
      </w:r>
      <w:r w:rsidR="004457E9">
        <w:t>appropriate supportive measures and/or remedial actions (e.g.</w:t>
      </w:r>
      <w:r w:rsidR="00EF179D">
        <w:t>,</w:t>
      </w:r>
      <w:r w:rsidR="004457E9">
        <w:t xml:space="preserve"> trespassing a person from campus).</w:t>
      </w:r>
      <w:r w:rsidR="00F25BC1">
        <w:t xml:space="preserve"> </w:t>
      </w:r>
      <w:r>
        <w:t>T</w:t>
      </w:r>
      <w:r w:rsidR="00F25BC1">
        <w:t xml:space="preserve">he </w:t>
      </w:r>
      <w:r w:rsidR="00F25BC1" w:rsidRPr="00D10556">
        <w:rPr>
          <w:highlight w:val="lightGray"/>
        </w:rPr>
        <w:t>Recipient</w:t>
      </w:r>
      <w:r w:rsidR="00F25BC1">
        <w:t xml:space="preserve"> can </w:t>
      </w:r>
      <w:r w:rsidR="004457E9">
        <w:t xml:space="preserve">also </w:t>
      </w:r>
      <w:r w:rsidR="00F25BC1">
        <w:t>assist in contacting local or institutional law enforcement if the individual would like to file a police report</w:t>
      </w:r>
      <w:r>
        <w:t xml:space="preserve"> </w:t>
      </w:r>
      <w:r w:rsidR="00E13F49">
        <w:t xml:space="preserve">about </w:t>
      </w:r>
      <w:r>
        <w:t>criminal conduct</w:t>
      </w:r>
      <w:r w:rsidR="00F25BC1">
        <w:t xml:space="preserve">. </w:t>
      </w:r>
    </w:p>
    <w:p w14:paraId="75DF5792" w14:textId="77777777" w:rsidR="00F25BC1" w:rsidRDefault="00F25BC1" w:rsidP="00F25BC1"/>
    <w:p w14:paraId="18CCBCF8" w14:textId="77777777" w:rsidR="00F25BC1" w:rsidRDefault="00F25BC1" w:rsidP="00F25BC1">
      <w:r>
        <w:t xml:space="preserve">All vendors serving the </w:t>
      </w:r>
      <w:r w:rsidRPr="00897393">
        <w:rPr>
          <w:highlight w:val="lightGray"/>
        </w:rPr>
        <w:t>Recipient</w:t>
      </w:r>
      <w:r>
        <w:t xml:space="preserve"> through third-party contracts are subject to the policies and procedures of their employers </w:t>
      </w:r>
      <w:r w:rsidRPr="00897393">
        <w:rPr>
          <w:highlight w:val="lightGray"/>
        </w:rPr>
        <w:t xml:space="preserve">[and/or to these </w:t>
      </w:r>
      <w:r>
        <w:rPr>
          <w:highlight w:val="lightGray"/>
        </w:rPr>
        <w:t>P</w:t>
      </w:r>
      <w:r w:rsidRPr="00897393">
        <w:rPr>
          <w:highlight w:val="lightGray"/>
        </w:rPr>
        <w:t>olicies and procedures to which their employer has agreed to be bound by their contracts]</w:t>
      </w:r>
      <w:r>
        <w:t xml:space="preserve">. </w:t>
      </w:r>
    </w:p>
    <w:p w14:paraId="017A375C" w14:textId="77777777" w:rsidR="00F25BC1" w:rsidRDefault="00F25BC1" w:rsidP="00F25BC1"/>
    <w:p w14:paraId="48AA7FEA" w14:textId="1BD164A7" w:rsidR="00F25BC1" w:rsidRDefault="00F25BC1" w:rsidP="00F25BC1">
      <w:r>
        <w:t xml:space="preserve">When the Respondent is enrolled in or employed by another institution, the </w:t>
      </w:r>
      <w:r w:rsidR="00885803" w:rsidRPr="009E69A4">
        <w:rPr>
          <w:highlight w:val="lightGray"/>
        </w:rPr>
        <w:t>Administrator</w:t>
      </w:r>
      <w:r>
        <w:t xml:space="preserve"> can assist the Complainant in </w:t>
      </w:r>
      <w:r w:rsidR="00885803">
        <w:t>contacting</w:t>
      </w:r>
      <w:r>
        <w:t xml:space="preserve"> the appropriate individual at that institution, as it may be possible to pursue action under that institution’s policies. </w:t>
      </w:r>
    </w:p>
    <w:p w14:paraId="4FFA1664" w14:textId="77777777" w:rsidR="00F25BC1" w:rsidRDefault="00F25BC1" w:rsidP="00F25BC1"/>
    <w:p w14:paraId="4839CC39" w14:textId="28330B67" w:rsidR="00F25BC1" w:rsidRDefault="00F25BC1" w:rsidP="00F25BC1">
      <w:r>
        <w:t xml:space="preserve">Similarly, the </w:t>
      </w:r>
      <w:r w:rsidR="00885803" w:rsidRPr="009E69A4">
        <w:rPr>
          <w:highlight w:val="lightGray"/>
        </w:rPr>
        <w:t>Administrator</w:t>
      </w:r>
      <w:r>
        <w:t xml:space="preserve"> may be able to assist and support a student or employee Complainant who experiences discrimination in an externship, study abroad program, or other environment external to the </w:t>
      </w:r>
      <w:r w:rsidRPr="00897393">
        <w:rPr>
          <w:highlight w:val="lightGray"/>
        </w:rPr>
        <w:t>Recipient</w:t>
      </w:r>
      <w:r>
        <w:t xml:space="preserve"> where sexual harassment or nondiscrimination policies and procedures of the facilitating or host organization may give the Complainant recourse.</w:t>
      </w:r>
      <w:r w:rsidR="005748DD">
        <w:t xml:space="preserve"> If there are effects of that external conduct that impact a student or employee’s work or educational environment, those effects can often be addressed remedially by the </w:t>
      </w:r>
      <w:r w:rsidR="005748DD" w:rsidRPr="00ED3CAB">
        <w:rPr>
          <w:highlight w:val="lightGray"/>
        </w:rPr>
        <w:t>Administrator</w:t>
      </w:r>
      <w:r w:rsidR="005748DD">
        <w:t xml:space="preserve"> if brought to their attention.</w:t>
      </w:r>
    </w:p>
    <w:p w14:paraId="3F4D1D31" w14:textId="77777777" w:rsidR="00561F16" w:rsidRDefault="00561F16" w:rsidP="00F25BC1"/>
    <w:p w14:paraId="33AD644D" w14:textId="77777777" w:rsidR="00962346" w:rsidRDefault="00962346" w:rsidP="00962346">
      <w:pPr>
        <w:pStyle w:val="Heading1"/>
      </w:pPr>
      <w:bookmarkStart w:id="18" w:name="_Toc82511613"/>
      <w:bookmarkStart w:id="19" w:name="_Toc102393936"/>
      <w:bookmarkStart w:id="20" w:name="_Toc168477500"/>
      <w:bookmarkStart w:id="21" w:name="_Toc82511619"/>
      <w:bookmarkStart w:id="22" w:name="_Toc102393942"/>
      <w:r>
        <w:t>Supportive Measures</w:t>
      </w:r>
      <w:bookmarkEnd w:id="18"/>
      <w:bookmarkEnd w:id="19"/>
      <w:bookmarkEnd w:id="20"/>
    </w:p>
    <w:p w14:paraId="1DEDB2F2" w14:textId="77777777" w:rsidR="00962346" w:rsidRPr="0011566E" w:rsidRDefault="00962346" w:rsidP="00962346"/>
    <w:p w14:paraId="42F6A0A4" w14:textId="244279C8" w:rsidR="00962346" w:rsidRDefault="00962346" w:rsidP="00962346">
      <w:r w:rsidRPr="00AB3FDD">
        <w:rPr>
          <w:highlight w:val="lightGray"/>
        </w:rPr>
        <w:t>Recipient</w:t>
      </w:r>
      <w:r>
        <w:t xml:space="preserve"> will offer and implement appropriate and reasonable supportive measures to the Parties upon </w:t>
      </w:r>
      <w:r w:rsidR="00BD18A8">
        <w:t>Notice</w:t>
      </w:r>
      <w:r>
        <w:t xml:space="preserve"> of alleged </w:t>
      </w:r>
      <w:r w:rsidR="005F75E7">
        <w:t xml:space="preserve">discrimination, </w:t>
      </w:r>
      <w:r>
        <w:t xml:space="preserve">harassment, and/or retaliation. Supportive measures are non-disciplinary, non-punitive individualized services offered as appropriate and reasonably available. They are offered, without fee or charge to the Parties, to restore or preserve access to the </w:t>
      </w:r>
      <w:r w:rsidRPr="00AB3FDD">
        <w:rPr>
          <w:highlight w:val="lightGray"/>
        </w:rPr>
        <w:t>Recipient</w:t>
      </w:r>
      <w:r>
        <w:t xml:space="preserve">’s education program or activity, including measures designed to protect the safety of all </w:t>
      </w:r>
      <w:r w:rsidR="0028631C">
        <w:t>Parties</w:t>
      </w:r>
      <w:r>
        <w:t xml:space="preserve"> and/or the </w:t>
      </w:r>
      <w:r w:rsidRPr="00AB3FDD">
        <w:rPr>
          <w:highlight w:val="lightGray"/>
        </w:rPr>
        <w:t>Recipient</w:t>
      </w:r>
      <w:r>
        <w:t xml:space="preserve">’s educational environment and/or to deter discrimination, </w:t>
      </w:r>
      <w:r w:rsidR="00BF0CC8">
        <w:t xml:space="preserve">harassment, </w:t>
      </w:r>
      <w:r>
        <w:t xml:space="preserve">and/or retaliation. </w:t>
      </w:r>
    </w:p>
    <w:p w14:paraId="0A7D8C4C" w14:textId="77777777" w:rsidR="00962346" w:rsidRDefault="00962346" w:rsidP="00962346"/>
    <w:p w14:paraId="0D7BF57C" w14:textId="61EB0BE0" w:rsidR="00962346" w:rsidRDefault="00962346" w:rsidP="00962346">
      <w:bookmarkStart w:id="23" w:name="_Hlk85627456"/>
      <w:r>
        <w:t xml:space="preserve">The </w:t>
      </w:r>
      <w:r w:rsidR="00861CA0" w:rsidRPr="00ED3CAB">
        <w:rPr>
          <w:highlight w:val="lightGray"/>
        </w:rPr>
        <w:t>Administrator</w:t>
      </w:r>
      <w:r>
        <w:t xml:space="preserve"> promptly makes supportive measures available to the </w:t>
      </w:r>
      <w:r w:rsidR="00861CA0">
        <w:t>P</w:t>
      </w:r>
      <w:r>
        <w:t xml:space="preserve">arties upon receiving </w:t>
      </w:r>
      <w:r w:rsidR="00BD18A8">
        <w:t>Notice</w:t>
      </w:r>
      <w:r w:rsidR="001C77F1">
        <w:t>/</w:t>
      </w:r>
      <w:r w:rsidR="00F240C0">
        <w:t>Knowledge</w:t>
      </w:r>
      <w:r>
        <w:t xml:space="preserve"> or a </w:t>
      </w:r>
      <w:r w:rsidR="00F240C0">
        <w:t>Complaint</w:t>
      </w:r>
      <w:r>
        <w:t xml:space="preserve">. At the time that supportive measures are offered, </w:t>
      </w:r>
      <w:r w:rsidR="001C77F1">
        <w:t xml:space="preserve">if a </w:t>
      </w:r>
      <w:r w:rsidR="00F240C0">
        <w:t>Complaint</w:t>
      </w:r>
      <w:r w:rsidR="001C77F1">
        <w:t xml:space="preserve"> has not been filed, </w:t>
      </w:r>
      <w:r>
        <w:t xml:space="preserve">the </w:t>
      </w:r>
      <w:r w:rsidRPr="009326EE">
        <w:rPr>
          <w:highlight w:val="lightGray"/>
        </w:rPr>
        <w:t>Recipient</w:t>
      </w:r>
      <w:r>
        <w:t xml:space="preserve"> will inform the Complainant, in writing, that they may file a Complaint with the </w:t>
      </w:r>
      <w:r w:rsidRPr="00AB3FDD">
        <w:rPr>
          <w:highlight w:val="lightGray"/>
        </w:rPr>
        <w:t>Recipient</w:t>
      </w:r>
      <w:r>
        <w:t xml:space="preserve"> either at that time or in the future. The </w:t>
      </w:r>
      <w:r w:rsidR="001C77F1" w:rsidRPr="00ED3CAB">
        <w:rPr>
          <w:highlight w:val="lightGray"/>
        </w:rPr>
        <w:t>Administrator</w:t>
      </w:r>
      <w:r>
        <w:t xml:space="preserve"> </w:t>
      </w:r>
      <w:r w:rsidR="001C77F1">
        <w:t xml:space="preserve">will </w:t>
      </w:r>
      <w:r>
        <w:t xml:space="preserve">work with </w:t>
      </w:r>
      <w:r w:rsidR="001C77F1">
        <w:t>a party</w:t>
      </w:r>
      <w:r>
        <w:t xml:space="preserve"> to ensure that their wishes are considered with respect to any planned and implemented supportive measures. </w:t>
      </w:r>
    </w:p>
    <w:bookmarkEnd w:id="23"/>
    <w:p w14:paraId="67856086" w14:textId="77777777" w:rsidR="00962346" w:rsidRDefault="00962346" w:rsidP="00962346"/>
    <w:p w14:paraId="02D4E3A7" w14:textId="7BAC587F" w:rsidR="00962346" w:rsidRPr="00AB3FDD" w:rsidRDefault="00962346" w:rsidP="00962346">
      <w:bookmarkStart w:id="24" w:name="_Hlk85627796"/>
      <w:r>
        <w:t xml:space="preserve">The </w:t>
      </w:r>
      <w:r w:rsidRPr="00AB3FDD">
        <w:rPr>
          <w:highlight w:val="lightGray"/>
        </w:rPr>
        <w:t>Recipient</w:t>
      </w:r>
      <w:r>
        <w:t xml:space="preserve"> will maintain the confidentiality of the supportive measures, </w:t>
      </w:r>
      <w:proofErr w:type="gramStart"/>
      <w:r>
        <w:t>provided that</w:t>
      </w:r>
      <w:proofErr w:type="gramEnd"/>
      <w:r>
        <w:t xml:space="preserve"> confidentiality does not impair the </w:t>
      </w:r>
      <w:r w:rsidRPr="00AB3FDD">
        <w:rPr>
          <w:highlight w:val="lightGray"/>
        </w:rPr>
        <w:t>Recipient</w:t>
      </w:r>
      <w:r>
        <w:t xml:space="preserve">’s ability to provide those supportive measures. </w:t>
      </w:r>
      <w:proofErr w:type="gramStart"/>
      <w:r w:rsidRPr="00AB3FDD">
        <w:rPr>
          <w:highlight w:val="lightGray"/>
        </w:rPr>
        <w:lastRenderedPageBreak/>
        <w:t>Recipient</w:t>
      </w:r>
      <w:proofErr w:type="gramEnd"/>
      <w:r>
        <w:t xml:space="preserve"> will act to ensure as minimal an academic</w:t>
      </w:r>
      <w:r w:rsidRPr="00E53C3C">
        <w:t>/occupational</w:t>
      </w:r>
      <w:r>
        <w:t xml:space="preserve"> impact on the </w:t>
      </w:r>
      <w:r w:rsidR="001C77F1">
        <w:t>P</w:t>
      </w:r>
      <w:r>
        <w:t xml:space="preserve">arties as possible. The </w:t>
      </w:r>
      <w:r w:rsidRPr="00AB3FDD">
        <w:rPr>
          <w:highlight w:val="lightGray"/>
        </w:rPr>
        <w:t>Recipient</w:t>
      </w:r>
      <w:r>
        <w:t xml:space="preserve"> will implement measures in a way that does not unreasonably burden </w:t>
      </w:r>
      <w:r w:rsidR="001C77F1">
        <w:t>any</w:t>
      </w:r>
      <w:r>
        <w:t xml:space="preserve"> party.</w:t>
      </w:r>
    </w:p>
    <w:bookmarkEnd w:id="24"/>
    <w:p w14:paraId="3C2E3185" w14:textId="77777777" w:rsidR="00962346" w:rsidRDefault="00962346" w:rsidP="00962346"/>
    <w:p w14:paraId="532E8978" w14:textId="77777777" w:rsidR="00962346" w:rsidRDefault="00962346" w:rsidP="00962346">
      <w:r>
        <w:t xml:space="preserve">These actions may include, but are not limited to: </w:t>
      </w:r>
    </w:p>
    <w:p w14:paraId="3B5C9C62" w14:textId="77777777" w:rsidR="00962346" w:rsidRDefault="00962346" w:rsidP="00962346"/>
    <w:p w14:paraId="6AE822A2" w14:textId="77777777" w:rsidR="00962346" w:rsidRDefault="00962346" w:rsidP="00E67059">
      <w:pPr>
        <w:pStyle w:val="ListParagraph"/>
        <w:numPr>
          <w:ilvl w:val="0"/>
          <w:numId w:val="3"/>
        </w:numPr>
        <w:rPr>
          <w:highlight w:val="lightGray"/>
        </w:rPr>
      </w:pPr>
      <w:r w:rsidRPr="00AB3FDD">
        <w:rPr>
          <w:highlight w:val="lightGray"/>
        </w:rPr>
        <w:t>[Referral to counseling, medical, and/or other healthcare services</w:t>
      </w:r>
    </w:p>
    <w:p w14:paraId="6685822E" w14:textId="77777777" w:rsidR="00962346" w:rsidRDefault="00962346" w:rsidP="00E67059">
      <w:pPr>
        <w:pStyle w:val="ListParagraph"/>
        <w:numPr>
          <w:ilvl w:val="0"/>
          <w:numId w:val="3"/>
        </w:numPr>
        <w:rPr>
          <w:highlight w:val="lightGray"/>
        </w:rPr>
      </w:pPr>
      <w:r w:rsidRPr="00AB3FDD">
        <w:rPr>
          <w:highlight w:val="lightGray"/>
        </w:rPr>
        <w:t>Referral to the Employee Assistance Program</w:t>
      </w:r>
    </w:p>
    <w:p w14:paraId="2AE01D1E" w14:textId="77777777" w:rsidR="00962346" w:rsidRDefault="00962346" w:rsidP="00E67059">
      <w:pPr>
        <w:pStyle w:val="ListParagraph"/>
        <w:numPr>
          <w:ilvl w:val="0"/>
          <w:numId w:val="3"/>
        </w:numPr>
        <w:rPr>
          <w:highlight w:val="lightGray"/>
        </w:rPr>
      </w:pPr>
      <w:r w:rsidRPr="00AB3FDD">
        <w:rPr>
          <w:highlight w:val="lightGray"/>
        </w:rPr>
        <w:t>Referral to community-based service providers</w:t>
      </w:r>
    </w:p>
    <w:p w14:paraId="72C9CBC8" w14:textId="77777777" w:rsidR="00962346" w:rsidRDefault="00962346" w:rsidP="00E67059">
      <w:pPr>
        <w:pStyle w:val="ListParagraph"/>
        <w:numPr>
          <w:ilvl w:val="0"/>
          <w:numId w:val="3"/>
        </w:numPr>
        <w:rPr>
          <w:highlight w:val="lightGray"/>
        </w:rPr>
      </w:pPr>
      <w:r w:rsidRPr="00AB3FDD">
        <w:rPr>
          <w:highlight w:val="lightGray"/>
        </w:rPr>
        <w:t>Visa and immigration assistance</w:t>
      </w:r>
    </w:p>
    <w:p w14:paraId="429BA73A" w14:textId="77777777" w:rsidR="00962346" w:rsidRDefault="00962346" w:rsidP="00E67059">
      <w:pPr>
        <w:pStyle w:val="ListParagraph"/>
        <w:numPr>
          <w:ilvl w:val="0"/>
          <w:numId w:val="3"/>
        </w:numPr>
        <w:rPr>
          <w:highlight w:val="lightGray"/>
        </w:rPr>
      </w:pPr>
      <w:r w:rsidRPr="00AB3FDD">
        <w:rPr>
          <w:highlight w:val="lightGray"/>
        </w:rPr>
        <w:t>Student financial aid counseling</w:t>
      </w:r>
    </w:p>
    <w:p w14:paraId="686B2160" w14:textId="77777777" w:rsidR="00962346" w:rsidRDefault="00962346" w:rsidP="00E67059">
      <w:pPr>
        <w:pStyle w:val="ListParagraph"/>
        <w:numPr>
          <w:ilvl w:val="0"/>
          <w:numId w:val="3"/>
        </w:numPr>
        <w:rPr>
          <w:highlight w:val="lightGray"/>
        </w:rPr>
      </w:pPr>
      <w:r w:rsidRPr="00AB3FDD">
        <w:rPr>
          <w:highlight w:val="lightGray"/>
        </w:rPr>
        <w:t>Education to the institutional community or community subgroup(s)</w:t>
      </w:r>
    </w:p>
    <w:p w14:paraId="70EC60C0" w14:textId="77777777" w:rsidR="00962346" w:rsidRDefault="00962346" w:rsidP="00E67059">
      <w:pPr>
        <w:pStyle w:val="ListParagraph"/>
        <w:numPr>
          <w:ilvl w:val="0"/>
          <w:numId w:val="3"/>
        </w:numPr>
        <w:rPr>
          <w:highlight w:val="lightGray"/>
        </w:rPr>
      </w:pPr>
      <w:r w:rsidRPr="00AB3FDD">
        <w:rPr>
          <w:highlight w:val="lightGray"/>
        </w:rPr>
        <w:t>Altering campus housing assignment(s)</w:t>
      </w:r>
    </w:p>
    <w:p w14:paraId="37488FC6" w14:textId="77777777" w:rsidR="00962346" w:rsidRDefault="00962346" w:rsidP="00E67059">
      <w:pPr>
        <w:pStyle w:val="ListParagraph"/>
        <w:numPr>
          <w:ilvl w:val="0"/>
          <w:numId w:val="3"/>
        </w:numPr>
        <w:rPr>
          <w:highlight w:val="lightGray"/>
        </w:rPr>
      </w:pPr>
      <w:r w:rsidRPr="00AB3FDD">
        <w:rPr>
          <w:highlight w:val="lightGray"/>
        </w:rPr>
        <w:t xml:space="preserve">Altering work arrangements for employees or </w:t>
      </w:r>
      <w:proofErr w:type="gramStart"/>
      <w:r w:rsidRPr="00AB3FDD">
        <w:rPr>
          <w:highlight w:val="lightGray"/>
        </w:rPr>
        <w:t>student-employees</w:t>
      </w:r>
      <w:proofErr w:type="gramEnd"/>
    </w:p>
    <w:p w14:paraId="75C079AA" w14:textId="77777777" w:rsidR="00962346" w:rsidRDefault="00962346" w:rsidP="00E67059">
      <w:pPr>
        <w:pStyle w:val="ListParagraph"/>
        <w:numPr>
          <w:ilvl w:val="0"/>
          <w:numId w:val="3"/>
        </w:numPr>
        <w:rPr>
          <w:highlight w:val="lightGray"/>
        </w:rPr>
      </w:pPr>
      <w:r w:rsidRPr="00AB3FDD">
        <w:rPr>
          <w:highlight w:val="lightGray"/>
        </w:rPr>
        <w:t>Safety planning</w:t>
      </w:r>
    </w:p>
    <w:p w14:paraId="74086DAF" w14:textId="77777777" w:rsidR="00962346" w:rsidRDefault="00962346" w:rsidP="00E67059">
      <w:pPr>
        <w:pStyle w:val="ListParagraph"/>
        <w:numPr>
          <w:ilvl w:val="0"/>
          <w:numId w:val="3"/>
        </w:numPr>
        <w:rPr>
          <w:highlight w:val="lightGray"/>
        </w:rPr>
      </w:pPr>
      <w:r w:rsidRPr="00AB3FDD">
        <w:rPr>
          <w:highlight w:val="lightGray"/>
        </w:rPr>
        <w:t>Providing campus safety escorts</w:t>
      </w:r>
    </w:p>
    <w:p w14:paraId="0264C73E" w14:textId="77777777" w:rsidR="00962346" w:rsidRDefault="00962346" w:rsidP="00E67059">
      <w:pPr>
        <w:pStyle w:val="ListParagraph"/>
        <w:numPr>
          <w:ilvl w:val="0"/>
          <w:numId w:val="3"/>
        </w:numPr>
        <w:rPr>
          <w:highlight w:val="lightGray"/>
        </w:rPr>
      </w:pPr>
      <w:r w:rsidRPr="00AB3FDD">
        <w:rPr>
          <w:highlight w:val="lightGray"/>
        </w:rPr>
        <w:t>Providing transportation assistance</w:t>
      </w:r>
    </w:p>
    <w:p w14:paraId="6F3C41F4" w14:textId="527B0D29" w:rsidR="00962346" w:rsidRDefault="00962346" w:rsidP="00E67059">
      <w:pPr>
        <w:pStyle w:val="ListParagraph"/>
        <w:numPr>
          <w:ilvl w:val="0"/>
          <w:numId w:val="3"/>
        </w:numPr>
        <w:rPr>
          <w:highlight w:val="lightGray"/>
        </w:rPr>
      </w:pPr>
      <w:r w:rsidRPr="00AB3FDD">
        <w:rPr>
          <w:highlight w:val="lightGray"/>
        </w:rPr>
        <w:t xml:space="preserve">Implementing contact limitations (no contact orders) between the </w:t>
      </w:r>
      <w:r w:rsidR="0028631C">
        <w:rPr>
          <w:highlight w:val="lightGray"/>
        </w:rPr>
        <w:t>Parties</w:t>
      </w:r>
    </w:p>
    <w:p w14:paraId="75BB22D4" w14:textId="77777777" w:rsidR="00962346" w:rsidRDefault="00962346" w:rsidP="00E67059">
      <w:pPr>
        <w:pStyle w:val="ListParagraph"/>
        <w:numPr>
          <w:ilvl w:val="0"/>
          <w:numId w:val="3"/>
        </w:numPr>
        <w:rPr>
          <w:highlight w:val="lightGray"/>
        </w:rPr>
      </w:pPr>
      <w:r w:rsidRPr="00AB3FDD">
        <w:rPr>
          <w:highlight w:val="lightGray"/>
        </w:rPr>
        <w:t>Academic support, extensions of deadlines, or other course/program-related adjustments</w:t>
      </w:r>
    </w:p>
    <w:p w14:paraId="27341315" w14:textId="77777777" w:rsidR="00962346" w:rsidRDefault="00962346" w:rsidP="00E67059">
      <w:pPr>
        <w:pStyle w:val="ListParagraph"/>
        <w:numPr>
          <w:ilvl w:val="0"/>
          <w:numId w:val="3"/>
        </w:numPr>
        <w:rPr>
          <w:highlight w:val="lightGray"/>
        </w:rPr>
      </w:pPr>
      <w:r w:rsidRPr="00AB3FDD">
        <w:rPr>
          <w:highlight w:val="lightGray"/>
        </w:rPr>
        <w:t>Trespass, Persona Non Grata (PNG), or Be-On-the-Lookout (BOLO) orders</w:t>
      </w:r>
    </w:p>
    <w:p w14:paraId="13CCCE0B" w14:textId="4A1ED610" w:rsidR="00962346" w:rsidRPr="00AB3FDD" w:rsidRDefault="00962346" w:rsidP="00E67059">
      <w:pPr>
        <w:pStyle w:val="ListParagraph"/>
        <w:numPr>
          <w:ilvl w:val="0"/>
          <w:numId w:val="3"/>
        </w:numPr>
        <w:rPr>
          <w:highlight w:val="lightGray"/>
        </w:rPr>
      </w:pPr>
      <w:r w:rsidRPr="00070E49">
        <w:rPr>
          <w:highlight w:val="lightGray"/>
        </w:rPr>
        <w:t>Timely warnings</w:t>
      </w:r>
    </w:p>
    <w:p w14:paraId="3309456D" w14:textId="77777777" w:rsidR="00962346" w:rsidRPr="00AB3FDD" w:rsidRDefault="00962346" w:rsidP="00E67059">
      <w:pPr>
        <w:pStyle w:val="ListParagraph"/>
        <w:numPr>
          <w:ilvl w:val="0"/>
          <w:numId w:val="3"/>
        </w:numPr>
        <w:rPr>
          <w:highlight w:val="lightGray"/>
        </w:rPr>
      </w:pPr>
      <w:r w:rsidRPr="00AB3FDD">
        <w:rPr>
          <w:highlight w:val="lightGray"/>
        </w:rPr>
        <w:t>Class schedule modifications, withdrawals, or leaves of absence</w:t>
      </w:r>
    </w:p>
    <w:p w14:paraId="05B940BE" w14:textId="77777777" w:rsidR="00962346" w:rsidRPr="00AB3FDD" w:rsidRDefault="00962346" w:rsidP="00E67059">
      <w:pPr>
        <w:pStyle w:val="ListParagraph"/>
        <w:numPr>
          <w:ilvl w:val="0"/>
          <w:numId w:val="3"/>
        </w:numPr>
        <w:rPr>
          <w:highlight w:val="lightGray"/>
        </w:rPr>
      </w:pPr>
      <w:r w:rsidRPr="00AB3FDD">
        <w:rPr>
          <w:highlight w:val="lightGray"/>
        </w:rPr>
        <w:t xml:space="preserve">Increased security and monitoring of certain areas of the campus </w:t>
      </w:r>
    </w:p>
    <w:p w14:paraId="2EF559D8" w14:textId="77777777" w:rsidR="00962346" w:rsidRPr="00AB3FDD" w:rsidRDefault="00962346" w:rsidP="00E67059">
      <w:pPr>
        <w:pStyle w:val="ListParagraph"/>
        <w:numPr>
          <w:ilvl w:val="0"/>
          <w:numId w:val="3"/>
        </w:numPr>
        <w:rPr>
          <w:highlight w:val="lightGray"/>
        </w:rPr>
      </w:pPr>
      <w:r w:rsidRPr="00AB3FDD">
        <w:rPr>
          <w:highlight w:val="lightGray"/>
        </w:rPr>
        <w:t>Any other actions deemed appropriate by the Title IX Coordinator]</w:t>
      </w:r>
    </w:p>
    <w:p w14:paraId="15847C60" w14:textId="77777777" w:rsidR="00962346" w:rsidRDefault="00962346" w:rsidP="00962346"/>
    <w:p w14:paraId="16A43E9A" w14:textId="015668FD" w:rsidR="00962346" w:rsidRDefault="00962346" w:rsidP="00962346">
      <w:r>
        <w:t xml:space="preserve">Violations of no contact orders or other restrictions may </w:t>
      </w:r>
      <w:proofErr w:type="gramStart"/>
      <w:r>
        <w:t>be referred</w:t>
      </w:r>
      <w:proofErr w:type="gramEnd"/>
      <w:r>
        <w:t xml:space="preserve"> to appropriate student or employee conduct processes for enforcement or added as collateral misconduct allegations to an ongoing </w:t>
      </w:r>
      <w:r w:rsidR="00F240C0">
        <w:t>Complaint</w:t>
      </w:r>
      <w:r>
        <w:t xml:space="preserve"> under this Policy.</w:t>
      </w:r>
    </w:p>
    <w:p w14:paraId="19E4C9DF" w14:textId="77777777" w:rsidR="00B81C93" w:rsidRDefault="00B81C93" w:rsidP="00962346"/>
    <w:p w14:paraId="19E478E9" w14:textId="62C07E84" w:rsidR="00962346" w:rsidRDefault="00B81C93" w:rsidP="00F766D9">
      <w:pPr>
        <w:spacing w:after="5" w:line="259" w:lineRule="auto"/>
        <w:ind w:right="15"/>
      </w:pPr>
      <w:r>
        <w:rPr>
          <w:rFonts w:asciiTheme="minorHAnsi" w:hAnsiTheme="minorHAnsi" w:cstheme="minorHAnsi"/>
        </w:rPr>
        <w:t xml:space="preserve">The Parties are provided </w:t>
      </w:r>
      <w:r w:rsidRPr="00ED3CAB">
        <w:rPr>
          <w:rFonts w:asciiTheme="minorHAnsi" w:hAnsiTheme="minorHAnsi" w:cstheme="minorHAnsi"/>
        </w:rPr>
        <w:t>with a timely opportunity to seek</w:t>
      </w:r>
      <w:r>
        <w:rPr>
          <w:rFonts w:asciiTheme="minorHAnsi" w:hAnsiTheme="minorHAnsi" w:cstheme="minorHAnsi"/>
        </w:rPr>
        <w:t xml:space="preserve"> </w:t>
      </w:r>
      <w:r w:rsidRPr="00ED3CAB">
        <w:rPr>
          <w:rFonts w:asciiTheme="minorHAnsi" w:hAnsiTheme="minorHAnsi" w:cstheme="minorHAnsi"/>
        </w:rPr>
        <w:t xml:space="preserve">modification or reversal of the </w:t>
      </w:r>
      <w:r w:rsidR="00536404" w:rsidRPr="00ED3CAB">
        <w:rPr>
          <w:rFonts w:asciiTheme="minorHAnsi" w:hAnsiTheme="minorHAnsi" w:cstheme="minorHAnsi"/>
          <w:highlight w:val="lightGray"/>
        </w:rPr>
        <w:t>R</w:t>
      </w:r>
      <w:r w:rsidRPr="00ED3CAB">
        <w:rPr>
          <w:rFonts w:asciiTheme="minorHAnsi" w:hAnsiTheme="minorHAnsi" w:cstheme="minorHAnsi"/>
          <w:highlight w:val="lightGray"/>
        </w:rPr>
        <w:t>ecipient</w:t>
      </w:r>
      <w:r w:rsidRPr="00ED3CAB">
        <w:rPr>
          <w:rFonts w:asciiTheme="minorHAnsi" w:hAnsiTheme="minorHAnsi" w:cstheme="minorHAnsi"/>
        </w:rPr>
        <w:t xml:space="preserve">’s decision to provide, deny, modify, or terminate supportive measures applicable to them. </w:t>
      </w:r>
      <w:r w:rsidR="007C464B">
        <w:rPr>
          <w:rFonts w:asciiTheme="minorHAnsi" w:hAnsiTheme="minorHAnsi" w:cstheme="minorHAnsi"/>
        </w:rPr>
        <w:t xml:space="preserve">A request to do so should be made in writing to the </w:t>
      </w:r>
      <w:r w:rsidR="007C464B" w:rsidRPr="00ED3CAB">
        <w:rPr>
          <w:rFonts w:asciiTheme="minorHAnsi" w:hAnsiTheme="minorHAnsi" w:cstheme="minorHAnsi"/>
          <w:highlight w:val="lightGray"/>
        </w:rPr>
        <w:t>Administrator</w:t>
      </w:r>
      <w:r w:rsidR="007C464B">
        <w:rPr>
          <w:rFonts w:asciiTheme="minorHAnsi" w:hAnsiTheme="minorHAnsi" w:cstheme="minorHAnsi"/>
        </w:rPr>
        <w:t xml:space="preserve">. </w:t>
      </w:r>
      <w:r w:rsidR="00536404">
        <w:rPr>
          <w:rFonts w:asciiTheme="minorHAnsi" w:hAnsiTheme="minorHAnsi" w:cstheme="minorHAnsi"/>
        </w:rPr>
        <w:t>An</w:t>
      </w:r>
      <w:r w:rsidRPr="00ED3CAB">
        <w:rPr>
          <w:rFonts w:asciiTheme="minorHAnsi" w:hAnsiTheme="minorHAnsi" w:cstheme="minorHAnsi"/>
        </w:rPr>
        <w:t xml:space="preserve"> impartial employee other than the employee who </w:t>
      </w:r>
      <w:r w:rsidR="00B94462">
        <w:rPr>
          <w:rFonts w:asciiTheme="minorHAnsi" w:hAnsiTheme="minorHAnsi" w:cstheme="minorHAnsi"/>
        </w:rPr>
        <w:t xml:space="preserve">implemented the supportive measures, who has </w:t>
      </w:r>
      <w:r w:rsidRPr="00ED3CAB">
        <w:rPr>
          <w:rFonts w:asciiTheme="minorHAnsi" w:hAnsiTheme="minorHAnsi" w:cstheme="minorHAnsi"/>
        </w:rPr>
        <w:t xml:space="preserve">authority to modify or reverse the decision, </w:t>
      </w:r>
      <w:r w:rsidR="00B94462">
        <w:rPr>
          <w:rFonts w:asciiTheme="minorHAnsi" w:hAnsiTheme="minorHAnsi" w:cstheme="minorHAnsi"/>
        </w:rPr>
        <w:t>will</w:t>
      </w:r>
      <w:r w:rsidRPr="00ED3CAB">
        <w:rPr>
          <w:rFonts w:asciiTheme="minorHAnsi" w:hAnsiTheme="minorHAnsi" w:cstheme="minorHAnsi"/>
        </w:rPr>
        <w:t xml:space="preserve"> determine </w:t>
      </w:r>
      <w:r w:rsidR="00B94462">
        <w:rPr>
          <w:rFonts w:asciiTheme="minorHAnsi" w:hAnsiTheme="minorHAnsi" w:cstheme="minorHAnsi"/>
        </w:rPr>
        <w:t>whether</w:t>
      </w:r>
      <w:r w:rsidRPr="00ED3CAB">
        <w:rPr>
          <w:rFonts w:asciiTheme="minorHAnsi" w:hAnsiTheme="minorHAnsi" w:cstheme="minorHAnsi"/>
        </w:rPr>
        <w:t xml:space="preserve"> to provide, deny, modify, or terminate the supportive measure</w:t>
      </w:r>
      <w:r w:rsidR="00B94462">
        <w:rPr>
          <w:rFonts w:asciiTheme="minorHAnsi" w:hAnsiTheme="minorHAnsi" w:cstheme="minorHAnsi"/>
        </w:rPr>
        <w:t>s</w:t>
      </w:r>
      <w:r w:rsidRPr="00ED3CAB">
        <w:rPr>
          <w:rFonts w:asciiTheme="minorHAnsi" w:hAnsiTheme="minorHAnsi" w:cstheme="minorHAnsi"/>
        </w:rPr>
        <w:t xml:space="preserve"> </w:t>
      </w:r>
      <w:r w:rsidR="00B94462">
        <w:rPr>
          <w:rFonts w:asciiTheme="minorHAnsi" w:hAnsiTheme="minorHAnsi" w:cstheme="minorHAnsi"/>
        </w:rPr>
        <w:t xml:space="preserve">if they are </w:t>
      </w:r>
      <w:r w:rsidRPr="00ED3CAB">
        <w:rPr>
          <w:rFonts w:asciiTheme="minorHAnsi" w:hAnsiTheme="minorHAnsi" w:cstheme="minorHAnsi"/>
        </w:rPr>
        <w:t>inconsistent with the definition of supportive measures in §</w:t>
      </w:r>
      <w:r w:rsidR="00800656">
        <w:rPr>
          <w:rFonts w:asciiTheme="minorHAnsi" w:hAnsiTheme="minorHAnsi" w:cstheme="minorHAnsi"/>
        </w:rPr>
        <w:t xml:space="preserve"> </w:t>
      </w:r>
      <w:r w:rsidRPr="00ED3CAB">
        <w:rPr>
          <w:rFonts w:asciiTheme="minorHAnsi" w:hAnsiTheme="minorHAnsi" w:cstheme="minorHAnsi"/>
        </w:rPr>
        <w:t>106.2</w:t>
      </w:r>
      <w:r w:rsidR="00B94462">
        <w:rPr>
          <w:rFonts w:asciiTheme="minorHAnsi" w:hAnsiTheme="minorHAnsi" w:cstheme="minorHAnsi"/>
        </w:rPr>
        <w:t xml:space="preserve"> of the federal Title IX </w:t>
      </w:r>
      <w:r w:rsidR="00356621">
        <w:rPr>
          <w:rFonts w:asciiTheme="minorHAnsi" w:hAnsiTheme="minorHAnsi" w:cstheme="minorHAnsi"/>
        </w:rPr>
        <w:t>R</w:t>
      </w:r>
      <w:r w:rsidR="00B94462">
        <w:rPr>
          <w:rFonts w:asciiTheme="minorHAnsi" w:hAnsiTheme="minorHAnsi" w:cstheme="minorHAnsi"/>
        </w:rPr>
        <w:t>egulations</w:t>
      </w:r>
      <w:r w:rsidRPr="00ED3CAB">
        <w:rPr>
          <w:rFonts w:asciiTheme="minorHAnsi" w:hAnsiTheme="minorHAnsi" w:cstheme="minorHAnsi"/>
        </w:rPr>
        <w:t xml:space="preserve">. </w:t>
      </w:r>
      <w:r w:rsidR="00B94462">
        <w:rPr>
          <w:rFonts w:asciiTheme="minorHAnsi" w:hAnsiTheme="minorHAnsi" w:cstheme="minorHAnsi"/>
        </w:rPr>
        <w:t xml:space="preserve">The </w:t>
      </w:r>
      <w:r w:rsidR="00B94462" w:rsidRPr="00ED3CAB">
        <w:rPr>
          <w:rFonts w:asciiTheme="minorHAnsi" w:hAnsiTheme="minorHAnsi" w:cstheme="minorHAnsi"/>
          <w:highlight w:val="lightGray"/>
        </w:rPr>
        <w:t>R</w:t>
      </w:r>
      <w:r w:rsidRPr="00ED3CAB">
        <w:rPr>
          <w:rFonts w:asciiTheme="minorHAnsi" w:hAnsiTheme="minorHAnsi" w:cstheme="minorHAnsi"/>
          <w:highlight w:val="lightGray"/>
        </w:rPr>
        <w:t>ecipient</w:t>
      </w:r>
      <w:r w:rsidRPr="00ED3CAB">
        <w:rPr>
          <w:rFonts w:asciiTheme="minorHAnsi" w:hAnsiTheme="minorHAnsi" w:cstheme="minorHAnsi"/>
        </w:rPr>
        <w:t xml:space="preserve"> </w:t>
      </w:r>
      <w:r w:rsidR="00B94462">
        <w:rPr>
          <w:rFonts w:asciiTheme="minorHAnsi" w:hAnsiTheme="minorHAnsi" w:cstheme="minorHAnsi"/>
        </w:rPr>
        <w:t>will</w:t>
      </w:r>
      <w:r w:rsidRPr="00ED3CAB">
        <w:rPr>
          <w:rFonts w:asciiTheme="minorHAnsi" w:hAnsiTheme="minorHAnsi" w:cstheme="minorHAnsi"/>
        </w:rPr>
        <w:t xml:space="preserve"> also provide </w:t>
      </w:r>
      <w:r w:rsidR="00B94462">
        <w:rPr>
          <w:rFonts w:asciiTheme="minorHAnsi" w:hAnsiTheme="minorHAnsi" w:cstheme="minorHAnsi"/>
        </w:rPr>
        <w:t>the Parties</w:t>
      </w:r>
      <w:r w:rsidRPr="00ED3CAB">
        <w:rPr>
          <w:rFonts w:asciiTheme="minorHAnsi" w:hAnsiTheme="minorHAnsi" w:cstheme="minorHAnsi"/>
        </w:rPr>
        <w:t xml:space="preserve"> with the opportunity to seek additional modification or termination of supportive measure</w:t>
      </w:r>
      <w:r w:rsidR="00C545B5">
        <w:rPr>
          <w:rFonts w:asciiTheme="minorHAnsi" w:hAnsiTheme="minorHAnsi" w:cstheme="minorHAnsi"/>
        </w:rPr>
        <w:t>s</w:t>
      </w:r>
      <w:r w:rsidRPr="00ED3CAB">
        <w:rPr>
          <w:rFonts w:asciiTheme="minorHAnsi" w:hAnsiTheme="minorHAnsi" w:cstheme="minorHAnsi"/>
        </w:rPr>
        <w:t xml:space="preserve"> applicable to them if circumstances change materially. </w:t>
      </w:r>
      <w:r w:rsidR="00C545B5">
        <w:rPr>
          <w:rFonts w:asciiTheme="minorHAnsi" w:hAnsiTheme="minorHAnsi" w:cstheme="minorHAnsi"/>
        </w:rPr>
        <w:t xml:space="preserve">The </w:t>
      </w:r>
      <w:r w:rsidR="00C545B5" w:rsidRPr="00ED3CAB">
        <w:rPr>
          <w:rFonts w:asciiTheme="minorHAnsi" w:hAnsiTheme="minorHAnsi" w:cstheme="minorHAnsi"/>
          <w:highlight w:val="lightGray"/>
        </w:rPr>
        <w:t>Recipient</w:t>
      </w:r>
      <w:r w:rsidR="00C545B5">
        <w:rPr>
          <w:rFonts w:asciiTheme="minorHAnsi" w:hAnsiTheme="minorHAnsi" w:cstheme="minorHAnsi"/>
        </w:rPr>
        <w:t xml:space="preserve"> typically renders decisions on supportive measures within </w:t>
      </w:r>
      <w:r w:rsidR="00C545B5" w:rsidRPr="007351FD">
        <w:rPr>
          <w:rFonts w:asciiTheme="minorHAnsi" w:hAnsiTheme="minorHAnsi" w:cstheme="minorHAnsi"/>
          <w:highlight w:val="lightGray"/>
        </w:rPr>
        <w:t>seven (7) business days</w:t>
      </w:r>
      <w:r w:rsidR="00C545B5">
        <w:rPr>
          <w:rFonts w:asciiTheme="minorHAnsi" w:hAnsiTheme="minorHAnsi" w:cstheme="minorHAnsi"/>
        </w:rPr>
        <w:t xml:space="preserve"> of receiving a request and provides a written determination to the impacted party(</w:t>
      </w:r>
      <w:proofErr w:type="spellStart"/>
      <w:r w:rsidR="00C545B5">
        <w:rPr>
          <w:rFonts w:asciiTheme="minorHAnsi" w:hAnsiTheme="minorHAnsi" w:cstheme="minorHAnsi"/>
        </w:rPr>
        <w:t>ies</w:t>
      </w:r>
      <w:proofErr w:type="spellEnd"/>
      <w:r w:rsidR="00C545B5">
        <w:rPr>
          <w:rFonts w:asciiTheme="minorHAnsi" w:hAnsiTheme="minorHAnsi" w:cstheme="minorHAnsi"/>
        </w:rPr>
        <w:t xml:space="preserve">) and the </w:t>
      </w:r>
      <w:r w:rsidR="00C545B5" w:rsidRPr="00ED3CAB">
        <w:rPr>
          <w:rFonts w:asciiTheme="minorHAnsi" w:hAnsiTheme="minorHAnsi" w:cstheme="minorHAnsi"/>
          <w:highlight w:val="lightGray"/>
        </w:rPr>
        <w:t>Administrator</w:t>
      </w:r>
      <w:r w:rsidR="00C545B5">
        <w:rPr>
          <w:rFonts w:asciiTheme="minorHAnsi" w:hAnsiTheme="minorHAnsi" w:cstheme="minorHAnsi"/>
        </w:rPr>
        <w:t>.</w:t>
      </w:r>
      <w:r w:rsidRPr="00ED3CAB">
        <w:rPr>
          <w:rFonts w:asciiTheme="minorHAnsi" w:hAnsiTheme="minorHAnsi" w:cstheme="minorHAnsi"/>
        </w:rPr>
        <w:t xml:space="preserve">  </w:t>
      </w:r>
      <w:r w:rsidR="00F766D9">
        <w:rPr>
          <w:rFonts w:asciiTheme="minorHAnsi" w:hAnsiTheme="minorHAnsi" w:cstheme="minorHAnsi"/>
        </w:rPr>
        <w:br/>
      </w:r>
    </w:p>
    <w:p w14:paraId="1327CBFA" w14:textId="7DC56C9B" w:rsidR="00885803" w:rsidRDefault="00885803" w:rsidP="00021C70">
      <w:pPr>
        <w:pStyle w:val="Heading1"/>
      </w:pPr>
      <w:bookmarkStart w:id="25" w:name="_Toc168477501"/>
      <w:r>
        <w:lastRenderedPageBreak/>
        <w:t>Online Harassment and Misconduct</w:t>
      </w:r>
      <w:bookmarkEnd w:id="21"/>
      <w:bookmarkEnd w:id="22"/>
      <w:bookmarkEnd w:id="25"/>
    </w:p>
    <w:p w14:paraId="78C8EBFE" w14:textId="77777777" w:rsidR="00885803" w:rsidRDefault="00885803" w:rsidP="00885803"/>
    <w:p w14:paraId="4F1255A0" w14:textId="794DC0B8" w:rsidR="00885803" w:rsidRDefault="00885803" w:rsidP="00885803">
      <w:r w:rsidRPr="00897393">
        <w:rPr>
          <w:highlight w:val="lightGray"/>
        </w:rPr>
        <w:t>Recipient</w:t>
      </w:r>
      <w:r>
        <w:t xml:space="preserve"> policies are written and interpreted broadly to include online manifestations of any of the behaviors prohibited below, when those behaviors occur in or </w:t>
      </w:r>
      <w:proofErr w:type="gramStart"/>
      <w:r>
        <w:t>have an effect on</w:t>
      </w:r>
      <w:proofErr w:type="gramEnd"/>
      <w:r>
        <w:t xml:space="preserve"> the </w:t>
      </w:r>
      <w:r w:rsidRPr="00897393">
        <w:rPr>
          <w:highlight w:val="lightGray"/>
        </w:rPr>
        <w:t>Recipient</w:t>
      </w:r>
      <w:r>
        <w:t>’s education program and activities</w:t>
      </w:r>
      <w:r w:rsidR="00E63069">
        <w:t>,</w:t>
      </w:r>
      <w:r>
        <w:t xml:space="preserve"> or when they involve the use of </w:t>
      </w:r>
      <w:r w:rsidRPr="00897393">
        <w:rPr>
          <w:highlight w:val="lightGray"/>
        </w:rPr>
        <w:t>Recipient</w:t>
      </w:r>
      <w:r>
        <w:t xml:space="preserve"> networks, technology, or equipment. </w:t>
      </w:r>
    </w:p>
    <w:p w14:paraId="0D6BB9C3" w14:textId="77777777" w:rsidR="00885803" w:rsidRDefault="00885803" w:rsidP="00885803"/>
    <w:p w14:paraId="78C2311F" w14:textId="4BCAE014" w:rsidR="00885803" w:rsidRDefault="00885803" w:rsidP="00885803">
      <w:r>
        <w:t xml:space="preserve">Although </w:t>
      </w:r>
      <w:r w:rsidRPr="00897393">
        <w:rPr>
          <w:highlight w:val="lightGray"/>
        </w:rPr>
        <w:t>Recipient</w:t>
      </w:r>
      <w:r>
        <w:t xml:space="preserve"> may not control websites, social media, and other venues through which harassing communications are made, when such communications are reported to </w:t>
      </w:r>
      <w:r w:rsidRPr="00897393">
        <w:rPr>
          <w:highlight w:val="lightGray"/>
        </w:rPr>
        <w:t>Recipient</w:t>
      </w:r>
      <w:r>
        <w:t>, it will engage in a variety of means to address and mitigate the effects</w:t>
      </w:r>
      <w:r w:rsidR="004457E9">
        <w:t xml:space="preserve">. </w:t>
      </w:r>
      <w:r w:rsidR="005748DD" w:rsidRPr="00ED3CAB">
        <w:rPr>
          <w:highlight w:val="lightGray"/>
        </w:rPr>
        <w:t>[</w:t>
      </w:r>
      <w:r w:rsidR="004457E9" w:rsidRPr="00ED3CAB">
        <w:rPr>
          <w:highlight w:val="lightGray"/>
        </w:rPr>
        <w:t xml:space="preserve">These </w:t>
      </w:r>
      <w:r w:rsidR="006E0CA8" w:rsidRPr="00ED3CAB">
        <w:rPr>
          <w:highlight w:val="lightGray"/>
        </w:rPr>
        <w:t xml:space="preserve">means </w:t>
      </w:r>
      <w:r w:rsidR="004457E9" w:rsidRPr="00ED3CAB">
        <w:rPr>
          <w:highlight w:val="lightGray"/>
        </w:rPr>
        <w:t>may include use of the Resolution Process</w:t>
      </w:r>
      <w:r w:rsidR="00B12017" w:rsidRPr="00ED3CAB">
        <w:rPr>
          <w:highlight w:val="lightGray"/>
        </w:rPr>
        <w:t xml:space="preserve"> to address </w:t>
      </w:r>
      <w:r w:rsidR="005748DD">
        <w:rPr>
          <w:highlight w:val="lightGray"/>
        </w:rPr>
        <w:t xml:space="preserve">off-campus </w:t>
      </w:r>
      <w:r w:rsidR="00B12017" w:rsidRPr="00ED3CAB">
        <w:rPr>
          <w:highlight w:val="lightGray"/>
        </w:rPr>
        <w:t xml:space="preserve">conduct whose </w:t>
      </w:r>
      <w:r w:rsidR="004457E9" w:rsidRPr="00ED3CAB">
        <w:rPr>
          <w:highlight w:val="lightGray"/>
        </w:rPr>
        <w:t xml:space="preserve">effects contribute to limiting or denying a person access to </w:t>
      </w:r>
      <w:r w:rsidR="005748DD">
        <w:rPr>
          <w:highlight w:val="lightGray"/>
        </w:rPr>
        <w:t>Recipient’s</w:t>
      </w:r>
      <w:r w:rsidR="004457E9" w:rsidRPr="00ED3CAB">
        <w:rPr>
          <w:highlight w:val="lightGray"/>
        </w:rPr>
        <w:t xml:space="preserve"> education program or activity</w:t>
      </w:r>
      <w:r w:rsidR="005748DD" w:rsidRPr="00ED3CAB">
        <w:rPr>
          <w:highlight w:val="lightGray"/>
        </w:rPr>
        <w:t>]</w:t>
      </w:r>
      <w:r w:rsidRPr="00ED3CAB">
        <w:rPr>
          <w:highlight w:val="lightGray"/>
        </w:rPr>
        <w:t>.</w:t>
      </w:r>
      <w:r>
        <w:t xml:space="preserve"> </w:t>
      </w:r>
    </w:p>
    <w:p w14:paraId="55AB24D6" w14:textId="77777777" w:rsidR="00885803" w:rsidRDefault="00885803" w:rsidP="00885803"/>
    <w:p w14:paraId="21CE4EB1" w14:textId="51C8A703" w:rsidR="005748DD" w:rsidRDefault="00885803" w:rsidP="00885803">
      <w:pPr>
        <w:rPr>
          <w:highlight w:val="lightGray"/>
        </w:rPr>
      </w:pPr>
      <w:r w:rsidRPr="00897393">
        <w:rPr>
          <w:highlight w:val="lightGray"/>
        </w:rPr>
        <w:t xml:space="preserve">[Public </w:t>
      </w:r>
      <w:r>
        <w:rPr>
          <w:highlight w:val="lightGray"/>
        </w:rPr>
        <w:t>Institutions</w:t>
      </w:r>
      <w:r w:rsidRPr="00897393">
        <w:rPr>
          <w:highlight w:val="lightGray"/>
        </w:rPr>
        <w:t xml:space="preserve">: </w:t>
      </w:r>
      <w:r w:rsidR="00C1012A">
        <w:rPr>
          <w:highlight w:val="lightGray"/>
        </w:rPr>
        <w:t>Nothing in th</w:t>
      </w:r>
      <w:r w:rsidR="000075C1">
        <w:rPr>
          <w:highlight w:val="lightGray"/>
        </w:rPr>
        <w:t>is</w:t>
      </w:r>
      <w:r w:rsidR="00C1012A">
        <w:rPr>
          <w:highlight w:val="lightGray"/>
        </w:rPr>
        <w:t xml:space="preserve"> </w:t>
      </w:r>
      <w:r w:rsidR="00D715ED">
        <w:rPr>
          <w:highlight w:val="lightGray"/>
        </w:rPr>
        <w:t>P</w:t>
      </w:r>
      <w:r w:rsidR="00C1012A">
        <w:rPr>
          <w:highlight w:val="lightGray"/>
        </w:rPr>
        <w:t>olic</w:t>
      </w:r>
      <w:r w:rsidR="000075C1">
        <w:rPr>
          <w:highlight w:val="lightGray"/>
        </w:rPr>
        <w:t>y</w:t>
      </w:r>
      <w:r w:rsidR="00C1012A">
        <w:rPr>
          <w:highlight w:val="lightGray"/>
        </w:rPr>
        <w:t xml:space="preserve"> </w:t>
      </w:r>
      <w:r w:rsidR="000075C1">
        <w:rPr>
          <w:highlight w:val="lightGray"/>
        </w:rPr>
        <w:t xml:space="preserve">is intended to infringe </w:t>
      </w:r>
      <w:r w:rsidR="005748DD">
        <w:rPr>
          <w:highlight w:val="lightGray"/>
        </w:rPr>
        <w:t>up</w:t>
      </w:r>
      <w:r w:rsidR="000075C1">
        <w:rPr>
          <w:highlight w:val="lightGray"/>
        </w:rPr>
        <w:t>on or limit a per</w:t>
      </w:r>
      <w:r w:rsidR="005748DD">
        <w:rPr>
          <w:highlight w:val="lightGray"/>
        </w:rPr>
        <w:t>s</w:t>
      </w:r>
      <w:r w:rsidR="000075C1">
        <w:rPr>
          <w:highlight w:val="lightGray"/>
        </w:rPr>
        <w:t xml:space="preserve">on’s rights to free speech. </w:t>
      </w:r>
      <w:r w:rsidRPr="00897393">
        <w:rPr>
          <w:highlight w:val="lightGray"/>
        </w:rPr>
        <w:t xml:space="preserve">Any online posting or other electronic communication by students, including </w:t>
      </w:r>
      <w:r w:rsidR="00070E49">
        <w:rPr>
          <w:highlight w:val="lightGray"/>
        </w:rPr>
        <w:t xml:space="preserve">technology-facilitated </w:t>
      </w:r>
      <w:r w:rsidRPr="00897393">
        <w:rPr>
          <w:highlight w:val="lightGray"/>
        </w:rPr>
        <w:t xml:space="preserve">bullying, stalking, harassment, etc., occurring completely outside of the Recipient’s control (e.g., not on Recipient networks, websites, or between Recipient email accounts) will only be subject to this Policy when such online conduct can be shown to </w:t>
      </w:r>
      <w:r w:rsidR="007A03BF">
        <w:rPr>
          <w:highlight w:val="lightGray"/>
        </w:rPr>
        <w:t>ca</w:t>
      </w:r>
      <w:r w:rsidRPr="00897393">
        <w:rPr>
          <w:highlight w:val="lightGray"/>
        </w:rPr>
        <w:t>use</w:t>
      </w:r>
      <w:r w:rsidR="005748DD">
        <w:rPr>
          <w:highlight w:val="lightGray"/>
        </w:rPr>
        <w:t xml:space="preserve"> (or will likely cause)</w:t>
      </w:r>
      <w:r w:rsidRPr="00897393">
        <w:rPr>
          <w:highlight w:val="lightGray"/>
        </w:rPr>
        <w:t xml:space="preserve"> a substantial in-program disruption or infringement on</w:t>
      </w:r>
      <w:r w:rsidR="005748DD">
        <w:rPr>
          <w:highlight w:val="lightGray"/>
        </w:rPr>
        <w:t>/harm to</w:t>
      </w:r>
      <w:r w:rsidRPr="00897393">
        <w:rPr>
          <w:highlight w:val="lightGray"/>
        </w:rPr>
        <w:t xml:space="preserve"> the rights of others. Otherwise, such communications are considered speech protected by the First Amendment. Supportive measures for Complainants will be provided</w:t>
      </w:r>
      <w:r w:rsidR="005748DD">
        <w:rPr>
          <w:highlight w:val="lightGray"/>
        </w:rPr>
        <w:t>.</w:t>
      </w:r>
      <w:r w:rsidRPr="00897393">
        <w:rPr>
          <w:highlight w:val="lightGray"/>
        </w:rPr>
        <w:t xml:space="preserve"> </w:t>
      </w:r>
    </w:p>
    <w:p w14:paraId="079B827C" w14:textId="77777777" w:rsidR="005748DD" w:rsidRPr="00897393" w:rsidRDefault="005748DD" w:rsidP="00885803">
      <w:pPr>
        <w:rPr>
          <w:highlight w:val="lightGray"/>
        </w:rPr>
      </w:pPr>
    </w:p>
    <w:p w14:paraId="1994A566" w14:textId="2AFF8516" w:rsidR="00885803" w:rsidRDefault="005748DD" w:rsidP="00ED3CAB">
      <w:r>
        <w:rPr>
          <w:highlight w:val="lightGray"/>
        </w:rPr>
        <w:t>O</w:t>
      </w:r>
      <w:r w:rsidR="00885803" w:rsidRPr="00897393">
        <w:rPr>
          <w:highlight w:val="lightGray"/>
        </w:rPr>
        <w:t>ff-campus harassing speech by employees, whether online or in person, may be regulated by the Recipient only when such speech is made in an employee’s official or work-related capacity</w:t>
      </w:r>
      <w:r w:rsidR="00885803">
        <w:rPr>
          <w:highlight w:val="lightGray"/>
        </w:rPr>
        <w:t>.</w:t>
      </w:r>
      <w:r w:rsidR="00885803" w:rsidRPr="00897393">
        <w:rPr>
          <w:highlight w:val="lightGray"/>
        </w:rPr>
        <w:t>]</w:t>
      </w:r>
    </w:p>
    <w:p w14:paraId="7E8C79F0" w14:textId="77777777" w:rsidR="00A35478" w:rsidRPr="00A35478" w:rsidRDefault="00A35478" w:rsidP="00ED3CAB"/>
    <w:p w14:paraId="3BEA6EB4" w14:textId="642CBF86" w:rsidR="00A35478" w:rsidRPr="00E53C3C" w:rsidRDefault="00A35478" w:rsidP="00ED3CAB">
      <w:pPr>
        <w:pStyle w:val="Heading1"/>
      </w:pPr>
      <w:bookmarkStart w:id="26" w:name="_Toc82511622"/>
      <w:bookmarkStart w:id="27" w:name="_Toc102393945"/>
      <w:bookmarkStart w:id="28" w:name="_Toc168477502"/>
      <w:r w:rsidRPr="00ED3CAB">
        <w:t>Inclusion Related to Gender Identity/Expression</w:t>
      </w:r>
      <w:r w:rsidRPr="008E3168">
        <w:rPr>
          <w:rStyle w:val="FootnoteReference"/>
          <w:b w:val="0"/>
          <w:bCs w:val="0"/>
          <w:u w:val="none"/>
        </w:rPr>
        <w:footnoteReference w:id="5"/>
      </w:r>
      <w:bookmarkEnd w:id="26"/>
      <w:bookmarkEnd w:id="27"/>
      <w:bookmarkEnd w:id="28"/>
    </w:p>
    <w:p w14:paraId="2BA5C449" w14:textId="77777777" w:rsidR="00A35478" w:rsidRPr="00A35478" w:rsidRDefault="00A35478" w:rsidP="00A35478"/>
    <w:p w14:paraId="1167F6A5" w14:textId="2E141FCD" w:rsidR="00A35478" w:rsidRPr="00ED3CAB" w:rsidRDefault="00A35478" w:rsidP="00ED3CAB">
      <w:r w:rsidRPr="00314F7D">
        <w:rPr>
          <w:highlight w:val="lightGray"/>
        </w:rPr>
        <w:t>Recipient</w:t>
      </w:r>
      <w:r w:rsidRPr="00ED3CAB">
        <w:t xml:space="preserve"> strives to ensure that all individuals are safe, included, and respected in their working and learning environments, regardless of their gender identity or expression, including intersex, </w:t>
      </w:r>
      <w:r w:rsidR="00314F7D">
        <w:t xml:space="preserve">nonbinary, </w:t>
      </w:r>
      <w:r w:rsidRPr="00ED3CAB">
        <w:t xml:space="preserve">transgender, agender, </w:t>
      </w:r>
      <w:r w:rsidR="00314F7D">
        <w:t xml:space="preserve">two-spirit, </w:t>
      </w:r>
      <w:r w:rsidRPr="00ED3CAB">
        <w:t>and gender</w:t>
      </w:r>
      <w:r w:rsidR="001625DF">
        <w:t>-</w:t>
      </w:r>
      <w:r w:rsidRPr="00ED3CAB">
        <w:t xml:space="preserve">diverse students and employees. </w:t>
      </w:r>
    </w:p>
    <w:p w14:paraId="5C6DCE6A" w14:textId="77777777" w:rsidR="00A35478" w:rsidRPr="00ED3CAB" w:rsidRDefault="00A35478" w:rsidP="00ED3CAB"/>
    <w:p w14:paraId="7B94945E" w14:textId="71ECAFB0" w:rsidR="00A35478" w:rsidRPr="00ED3CAB" w:rsidRDefault="00A35478" w:rsidP="00ED3CAB">
      <w:r w:rsidRPr="00ED3CAB">
        <w:t xml:space="preserve">Discrimination </w:t>
      </w:r>
      <w:r w:rsidR="00314F7D">
        <w:t xml:space="preserve">and harassment </w:t>
      </w:r>
      <w:proofErr w:type="gramStart"/>
      <w:r w:rsidRPr="00ED3CAB">
        <w:t>on the basis of</w:t>
      </w:r>
      <w:proofErr w:type="gramEnd"/>
      <w:r w:rsidRPr="00ED3CAB">
        <w:t xml:space="preserve"> gender identity or expression </w:t>
      </w:r>
      <w:r w:rsidR="00314F7D">
        <w:t>are</w:t>
      </w:r>
      <w:r w:rsidRPr="00ED3CAB">
        <w:t xml:space="preserve"> not tolerated by </w:t>
      </w:r>
      <w:proofErr w:type="gramStart"/>
      <w:r w:rsidRPr="00314F7D">
        <w:rPr>
          <w:highlight w:val="lightGray"/>
        </w:rPr>
        <w:t>Recipient</w:t>
      </w:r>
      <w:proofErr w:type="gramEnd"/>
      <w:r w:rsidRPr="00ED3CAB">
        <w:t xml:space="preserve">. If a member of the </w:t>
      </w:r>
      <w:r w:rsidRPr="00314F7D">
        <w:rPr>
          <w:highlight w:val="lightGray"/>
        </w:rPr>
        <w:t>Recipient</w:t>
      </w:r>
      <w:r w:rsidRPr="00ED3CAB">
        <w:t xml:space="preserve"> community </w:t>
      </w:r>
      <w:r w:rsidR="00314F7D">
        <w:t>believes</w:t>
      </w:r>
      <w:r w:rsidRPr="00ED3CAB">
        <w:t xml:space="preserve"> they have been subjected to discrimination under this Policy, they should follow the appropriate reporting process described </w:t>
      </w:r>
      <w:r w:rsidR="00314F7D">
        <w:t>herein</w:t>
      </w:r>
      <w:r w:rsidRPr="00ED3CAB">
        <w:t>.</w:t>
      </w:r>
    </w:p>
    <w:p w14:paraId="0E0CCE84" w14:textId="77777777" w:rsidR="00A35478" w:rsidRPr="00ED3CAB" w:rsidRDefault="00A35478" w:rsidP="00ED3CAB"/>
    <w:p w14:paraId="1C5B54E1" w14:textId="5514D7B5" w:rsidR="00A35478" w:rsidRPr="00ED3CAB" w:rsidRDefault="00A35478" w:rsidP="00ED3CAB">
      <w:r w:rsidRPr="00ED3CAB">
        <w:t xml:space="preserve">In upholding the principles of equity and inclusion, </w:t>
      </w:r>
      <w:r w:rsidRPr="00314F7D">
        <w:rPr>
          <w:highlight w:val="lightGray"/>
        </w:rPr>
        <w:t>Recipient</w:t>
      </w:r>
      <w:r w:rsidRPr="00ED3CAB">
        <w:t xml:space="preserve"> supports the full integration and healthy development of those who are transgender, transitioning, </w:t>
      </w:r>
      <w:r w:rsidR="00314F7D">
        <w:t xml:space="preserve">nonbinary, </w:t>
      </w:r>
      <w:r w:rsidRPr="00ED3CAB">
        <w:t>or gender</w:t>
      </w:r>
      <w:r w:rsidR="00E44437">
        <w:t>-</w:t>
      </w:r>
      <w:r w:rsidRPr="00ED3CAB">
        <w:t xml:space="preserve">diverse, and seeks to eliminate any stigma related to gender identity and expression. </w:t>
      </w:r>
    </w:p>
    <w:p w14:paraId="76D3F4AE" w14:textId="77777777" w:rsidR="00A35478" w:rsidRPr="00ED3CAB" w:rsidRDefault="00A35478" w:rsidP="00ED3CAB"/>
    <w:p w14:paraId="3C5EB936" w14:textId="04295531" w:rsidR="00A35478" w:rsidRPr="00ED3CAB" w:rsidRDefault="00A35478" w:rsidP="00ED3CAB">
      <w:proofErr w:type="gramStart"/>
      <w:r w:rsidRPr="00314F7D">
        <w:rPr>
          <w:highlight w:val="lightGray"/>
        </w:rPr>
        <w:t>Recipient</w:t>
      </w:r>
      <w:r w:rsidRPr="00ED3CAB">
        <w:t xml:space="preserve"> is</w:t>
      </w:r>
      <w:proofErr w:type="gramEnd"/>
      <w:r w:rsidRPr="00ED3CAB">
        <w:t xml:space="preserve"> committed to fostering a climate where all identities are valued</w:t>
      </w:r>
      <w:r w:rsidR="008569EE">
        <w:t xml:space="preserve">, contributing to </w:t>
      </w:r>
      <w:r w:rsidRPr="00ED3CAB">
        <w:t xml:space="preserve">a more vibrant and diverse community. The purpose of this Policy is to have the </w:t>
      </w:r>
      <w:r w:rsidRPr="00314F7D">
        <w:rPr>
          <w:highlight w:val="lightGray"/>
        </w:rPr>
        <w:t>Recipient</w:t>
      </w:r>
      <w:r w:rsidRPr="00ED3CAB">
        <w:t xml:space="preserve"> administratively address issues </w:t>
      </w:r>
      <w:r w:rsidR="0061104B">
        <w:t xml:space="preserve">that </w:t>
      </w:r>
      <w:r w:rsidRPr="00ED3CAB">
        <w:t xml:space="preserve">some students and employees, including those identifying as intersex, transgender, agender, </w:t>
      </w:r>
      <w:r w:rsidR="00314F7D">
        <w:t xml:space="preserve">nonbinary, </w:t>
      </w:r>
      <w:r w:rsidRPr="00ED3CAB">
        <w:t>and gender</w:t>
      </w:r>
      <w:r w:rsidR="007D0C0B">
        <w:t>-</w:t>
      </w:r>
      <w:r w:rsidRPr="00ED3CAB">
        <w:t xml:space="preserve">diverse, may confront as they navigate systems originally designed around the assumption that gender is binary. As our society’s understanding of gender evolves, so do the </w:t>
      </w:r>
      <w:r w:rsidRPr="00314F7D">
        <w:rPr>
          <w:highlight w:val="lightGray"/>
        </w:rPr>
        <w:t>Recipient</w:t>
      </w:r>
      <w:r w:rsidRPr="00ED3CAB">
        <w:t>’s processes and policies.</w:t>
      </w:r>
    </w:p>
    <w:p w14:paraId="18F42C27" w14:textId="77777777" w:rsidR="00A35478" w:rsidRPr="00ED3CAB" w:rsidRDefault="00A35478" w:rsidP="00ED3CAB"/>
    <w:p w14:paraId="6A4E9E58" w14:textId="4D638B05" w:rsidR="00A35478" w:rsidRPr="00ED3CAB" w:rsidRDefault="00A35478" w:rsidP="00ED3CAB">
      <w:r w:rsidRPr="00ED3CAB">
        <w:t xml:space="preserve">Concepts like misgendering and deadnaming may not be familiar to all but understanding them is essential to </w:t>
      </w:r>
      <w:r w:rsidRPr="00314F7D">
        <w:rPr>
          <w:highlight w:val="lightGray"/>
        </w:rPr>
        <w:t>Recipient</w:t>
      </w:r>
      <w:r w:rsidRPr="00ED3CAB">
        <w:t xml:space="preserve">’s goal of being as welcoming and inclusive a community as possible. </w:t>
      </w:r>
    </w:p>
    <w:p w14:paraId="651D8F6D" w14:textId="77777777" w:rsidR="00A35478" w:rsidRPr="00ED3CAB" w:rsidRDefault="00A35478" w:rsidP="00ED3CAB"/>
    <w:p w14:paraId="3A14334C" w14:textId="28A47F5F" w:rsidR="00A35478" w:rsidRPr="00ED3CAB" w:rsidRDefault="00A35478" w:rsidP="00ED3CAB">
      <w:r w:rsidRPr="00ED3CAB">
        <w:t>Misgendering</w:t>
      </w:r>
      <w:r w:rsidR="00312AD7">
        <w:t xml:space="preserve"> or </w:t>
      </w:r>
      <w:proofErr w:type="spellStart"/>
      <w:r w:rsidR="002D6FA0">
        <w:t>mispronouning</w:t>
      </w:r>
      <w:proofErr w:type="spellEnd"/>
      <w:r w:rsidRPr="00ED3CAB">
        <w:t xml:space="preserve"> is the intentional or unintentional use of pronouns or identifiers that are different from those used by an individual. Unintentional misgendering is usually resolved with a simple apology if someone clarifies their pronouns for you. Intentional misgendering is inconsistent with the type of community we hold ourselves out to be</w:t>
      </w:r>
      <w:r w:rsidR="00312AD7">
        <w:t xml:space="preserve"> and may constitute a Policy violation if the effect is </w:t>
      </w:r>
      <w:r w:rsidR="00FA6072">
        <w:t>greater</w:t>
      </w:r>
      <w:r w:rsidR="00312AD7">
        <w:t xml:space="preserve"> than </w:t>
      </w:r>
      <w:r w:rsidR="00312AD7" w:rsidRPr="00ED3CAB">
        <w:rPr>
          <w:i/>
          <w:iCs/>
        </w:rPr>
        <w:t>de minimis</w:t>
      </w:r>
      <w:r w:rsidR="00FA6072">
        <w:rPr>
          <w:i/>
          <w:iCs/>
        </w:rPr>
        <w:t xml:space="preserve"> </w:t>
      </w:r>
      <w:r w:rsidR="00FA6072" w:rsidRPr="00FA6072">
        <w:t>harm</w:t>
      </w:r>
      <w:r w:rsidRPr="00ED3CAB">
        <w:t xml:space="preserve">. We </w:t>
      </w:r>
      <w:r w:rsidR="00FA6072">
        <w:t xml:space="preserve">each have a right </w:t>
      </w:r>
      <w:r w:rsidRPr="00ED3CAB">
        <w:t xml:space="preserve">to determine our own gender identity and expression, but we don’t get to choose or negate someone else’s. </w:t>
      </w:r>
    </w:p>
    <w:p w14:paraId="3400B743" w14:textId="77777777" w:rsidR="00A35478" w:rsidRPr="00ED3CAB" w:rsidRDefault="00A35478" w:rsidP="00ED3CAB"/>
    <w:p w14:paraId="1A835837" w14:textId="1E4490D2" w:rsidR="00A35478" w:rsidRPr="00ED3CAB" w:rsidRDefault="00A35478" w:rsidP="00ED3CAB">
      <w:r w:rsidRPr="00ED3CAB">
        <w:t xml:space="preserve">Deadnaming, along with misgendering, can be very traumatic to a person who is transgender, transitioning, </w:t>
      </w:r>
      <w:r w:rsidR="00312AD7">
        <w:t xml:space="preserve">nonbinary, </w:t>
      </w:r>
      <w:r w:rsidRPr="00ED3CAB">
        <w:t xml:space="preserve">or </w:t>
      </w:r>
      <w:proofErr w:type="gramStart"/>
      <w:r w:rsidRPr="00ED3CAB">
        <w:t>gender</w:t>
      </w:r>
      <w:r w:rsidR="007D0C0B">
        <w:t>-</w:t>
      </w:r>
      <w:r w:rsidRPr="00ED3CAB">
        <w:t>diverse</w:t>
      </w:r>
      <w:proofErr w:type="gramEnd"/>
      <w:r w:rsidRPr="00ED3CAB">
        <w:t xml:space="preserve">. Deadnaming means using someone’s birth-assigned (cisgender) name, rather than the name they have chosen. </w:t>
      </w:r>
    </w:p>
    <w:p w14:paraId="3BDBE569" w14:textId="77777777" w:rsidR="00A35478" w:rsidRPr="00ED3CAB" w:rsidRDefault="00A35478" w:rsidP="00ED3CAB"/>
    <w:p w14:paraId="7DFCC628" w14:textId="47748D13" w:rsidR="00A35478" w:rsidRPr="00ED3CAB" w:rsidRDefault="00A35478" w:rsidP="00ED3CAB">
      <w:r w:rsidRPr="00ED3CAB">
        <w:t xml:space="preserve">To a person who is transgender, transitioning, </w:t>
      </w:r>
      <w:r w:rsidR="00312AD7">
        <w:t xml:space="preserve">nonbinary, </w:t>
      </w:r>
      <w:r w:rsidRPr="00ED3CAB">
        <w:t>or gender</w:t>
      </w:r>
      <w:r w:rsidR="007D0C0B">
        <w:t>-</w:t>
      </w:r>
      <w:r w:rsidRPr="00ED3CAB">
        <w:t xml:space="preserve">diverse, their cisgender identity may </w:t>
      </w:r>
      <w:proofErr w:type="gramStart"/>
      <w:r w:rsidRPr="00ED3CAB">
        <w:t>be something that is</w:t>
      </w:r>
      <w:proofErr w:type="gramEnd"/>
      <w:r w:rsidRPr="00ED3CAB">
        <w:t xml:space="preserve"> in their past</w:t>
      </w:r>
      <w:r w:rsidR="00312AD7">
        <w:t xml:space="preserve"> --</w:t>
      </w:r>
      <w:r w:rsidRPr="00ED3CAB">
        <w:t xml:space="preserve"> dead, buried, and behind them. To then revive their deadname could trigger issues, traumas, and experiences of the past that the individual has moved past, or is moving past, and can interfere with their health and well-being. </w:t>
      </w:r>
    </w:p>
    <w:p w14:paraId="654AE4A4" w14:textId="77777777" w:rsidR="00A35478" w:rsidRPr="00ED3CAB" w:rsidRDefault="00A35478" w:rsidP="00ED3CAB"/>
    <w:p w14:paraId="05324804" w14:textId="77777777" w:rsidR="00A35478" w:rsidRPr="00ED3CAB" w:rsidRDefault="00A35478" w:rsidP="00ED3CAB">
      <w:r w:rsidRPr="00ED3CAB">
        <w:t xml:space="preserve">Again, unintentional deadnaming can be addressed by a simple apology and an effort to use the person’s chosen name. Intentional deadnaming could be a form of bullying, outing, or otherwise harassing an individual, and thus should be avoided. </w:t>
      </w:r>
    </w:p>
    <w:p w14:paraId="75016C29" w14:textId="77777777" w:rsidR="00A35478" w:rsidRPr="00ED3CAB" w:rsidRDefault="00A35478" w:rsidP="00ED3CAB"/>
    <w:p w14:paraId="529F4F43" w14:textId="5D54E200" w:rsidR="00A35478" w:rsidRPr="00ED3CAB" w:rsidRDefault="00A35478" w:rsidP="00ED3CAB">
      <w:r w:rsidRPr="00ED3CAB">
        <w:t xml:space="preserve">This </w:t>
      </w:r>
      <w:r w:rsidR="00ED0E16">
        <w:t>P</w:t>
      </w:r>
      <w:r w:rsidRPr="00ED3CAB">
        <w:t xml:space="preserve">olicy should be interpreted consistent with the goals of maximizing the inclusion of intersex, transgender, transitioning, agender, </w:t>
      </w:r>
      <w:r w:rsidR="00ED0E16">
        <w:t xml:space="preserve">nonbinary, </w:t>
      </w:r>
      <w:r w:rsidRPr="00ED3CAB">
        <w:t>and gender</w:t>
      </w:r>
      <w:r w:rsidR="007D0C0B">
        <w:t>-</w:t>
      </w:r>
      <w:r w:rsidRPr="00ED3CAB">
        <w:t>diverse students and employees, including:</w:t>
      </w:r>
    </w:p>
    <w:p w14:paraId="44B0AC9C" w14:textId="77777777" w:rsidR="00A35478" w:rsidRPr="00ED3CAB" w:rsidRDefault="00A35478" w:rsidP="00ED3CAB"/>
    <w:p w14:paraId="48DAAC65" w14:textId="77777777" w:rsidR="00A35478" w:rsidRPr="00ED3CAB" w:rsidRDefault="00A35478" w:rsidP="00E67059">
      <w:pPr>
        <w:pStyle w:val="ListParagraph"/>
        <w:numPr>
          <w:ilvl w:val="0"/>
          <w:numId w:val="6"/>
        </w:numPr>
        <w:ind w:left="720"/>
      </w:pPr>
      <w:r w:rsidRPr="00ED3CAB">
        <w:t>Maintaining the privacy of all individuals consistent with law</w:t>
      </w:r>
    </w:p>
    <w:p w14:paraId="081482B9" w14:textId="26AD7FF1" w:rsidR="00A35478" w:rsidRPr="00ED3CAB" w:rsidRDefault="00A35478" w:rsidP="00E67059">
      <w:pPr>
        <w:pStyle w:val="ListParagraph"/>
        <w:numPr>
          <w:ilvl w:val="0"/>
          <w:numId w:val="6"/>
        </w:numPr>
        <w:ind w:left="720"/>
      </w:pPr>
      <w:r w:rsidRPr="00ED3CAB">
        <w:t xml:space="preserve">Ensuring all students </w:t>
      </w:r>
      <w:r w:rsidR="001D62AC">
        <w:t xml:space="preserve">have </w:t>
      </w:r>
      <w:r w:rsidRPr="00ED3CAB">
        <w:t>equal access to educational programming, activities, and facilities, including restrooms and locker rooms</w:t>
      </w:r>
    </w:p>
    <w:p w14:paraId="15E7B97E" w14:textId="6E0D6CF6" w:rsidR="00A35478" w:rsidRPr="00ED3CAB" w:rsidRDefault="00A35478" w:rsidP="00E67059">
      <w:pPr>
        <w:pStyle w:val="ListParagraph"/>
        <w:numPr>
          <w:ilvl w:val="0"/>
          <w:numId w:val="6"/>
        </w:numPr>
        <w:ind w:left="720"/>
      </w:pPr>
      <w:r w:rsidRPr="00ED3CAB">
        <w:t xml:space="preserve">Ensuring all employees </w:t>
      </w:r>
      <w:r w:rsidR="001D62AC">
        <w:t xml:space="preserve">have </w:t>
      </w:r>
      <w:r w:rsidRPr="00ED3CAB">
        <w:t>equal access to employment opportunities and work, service, or health-related facilities</w:t>
      </w:r>
    </w:p>
    <w:p w14:paraId="75C3D8C8" w14:textId="77777777" w:rsidR="00A35478" w:rsidRPr="00ED3CAB" w:rsidRDefault="00A35478" w:rsidP="00E67059">
      <w:pPr>
        <w:pStyle w:val="ListParagraph"/>
        <w:numPr>
          <w:ilvl w:val="0"/>
          <w:numId w:val="6"/>
        </w:numPr>
        <w:ind w:left="720"/>
      </w:pPr>
      <w:r w:rsidRPr="00ED3CAB">
        <w:t>Providing professional development for employees and education for students on topics related to gender inclusion</w:t>
      </w:r>
    </w:p>
    <w:p w14:paraId="756071D4" w14:textId="77777777" w:rsidR="00A35478" w:rsidRDefault="00A35478" w:rsidP="00E67059">
      <w:pPr>
        <w:pStyle w:val="ListParagraph"/>
        <w:numPr>
          <w:ilvl w:val="0"/>
          <w:numId w:val="6"/>
        </w:numPr>
        <w:ind w:left="720"/>
      </w:pPr>
      <w:r w:rsidRPr="00ED3CAB">
        <w:lastRenderedPageBreak/>
        <w:t xml:space="preserve">Encouraging all students and employees to respect the pronoun usage and identities of all members of the </w:t>
      </w:r>
      <w:r w:rsidRPr="00ED0E16">
        <w:rPr>
          <w:highlight w:val="lightGray"/>
        </w:rPr>
        <w:t>Recipient</w:t>
      </w:r>
      <w:r w:rsidRPr="00ED3CAB">
        <w:t xml:space="preserve"> community</w:t>
      </w:r>
    </w:p>
    <w:p w14:paraId="7AFEE218" w14:textId="77777777" w:rsidR="00D846DB" w:rsidRDefault="00D846DB" w:rsidP="00ED3CAB">
      <w:pPr>
        <w:pStyle w:val="ListParagraph"/>
      </w:pPr>
    </w:p>
    <w:p w14:paraId="363690D8" w14:textId="65B716B2" w:rsidR="00A35478" w:rsidRDefault="00ED0E16" w:rsidP="00F766D9">
      <w:proofErr w:type="gramStart"/>
      <w:r w:rsidRPr="00ED3CAB">
        <w:rPr>
          <w:highlight w:val="lightGray"/>
        </w:rPr>
        <w:t>Recipient</w:t>
      </w:r>
      <w:r>
        <w:t xml:space="preserve"> uses</w:t>
      </w:r>
      <w:proofErr w:type="gramEnd"/>
      <w:r>
        <w:t xml:space="preserve"> </w:t>
      </w:r>
      <w:proofErr w:type="gramStart"/>
      <w:r>
        <w:t>a number of</w:t>
      </w:r>
      <w:proofErr w:type="gramEnd"/>
      <w:r>
        <w:t xml:space="preserve"> interventions to address concerns that are raised related to gender-based harassment or discrimination</w:t>
      </w:r>
      <w:r w:rsidR="005A2944">
        <w:t>,</w:t>
      </w:r>
      <w:r>
        <w:t xml:space="preserve"> including problem-solving, intervention, confrontation, investigation, and Policy enforcement. When conflicts arise between the </w:t>
      </w:r>
      <w:proofErr w:type="gramStart"/>
      <w:r>
        <w:t>right</w:t>
      </w:r>
      <w:proofErr w:type="gramEnd"/>
      <w:r>
        <w:t xml:space="preserve"> of members of the community to be free from gender-identity discrimination and those exercising their right to religious freedom, the </w:t>
      </w:r>
      <w:r w:rsidRPr="00ED3CAB">
        <w:rPr>
          <w:highlight w:val="lightGray"/>
        </w:rPr>
        <w:t>Recipient</w:t>
      </w:r>
      <w:r>
        <w:t xml:space="preserve"> will try to balance rights and interests to find mutually agreeable outcomes or compromises. </w:t>
      </w:r>
      <w:proofErr w:type="gramStart"/>
      <w:r>
        <w:t>When</w:t>
      </w:r>
      <w:proofErr w:type="gramEnd"/>
      <w:r>
        <w:t xml:space="preserve"> that is not possible, </w:t>
      </w:r>
      <w:r w:rsidRPr="00ED3CAB">
        <w:rPr>
          <w:highlight w:val="lightGray"/>
        </w:rPr>
        <w:t>Recipient</w:t>
      </w:r>
      <w:r>
        <w:t xml:space="preserve"> will offer remedial solutions or enforce its Policies while also respecting the rights of all members of its community. </w:t>
      </w:r>
      <w:r w:rsidR="00F766D9">
        <w:br/>
      </w:r>
    </w:p>
    <w:p w14:paraId="4F206E66" w14:textId="35310FC4" w:rsidR="009E69A4" w:rsidRDefault="00AE06EF" w:rsidP="00021C70">
      <w:pPr>
        <w:pStyle w:val="Heading1"/>
      </w:pPr>
      <w:bookmarkStart w:id="29" w:name="_Toc168477503"/>
      <w:r>
        <w:t>Prohibited Conduct</w:t>
      </w:r>
      <w:bookmarkEnd w:id="29"/>
    </w:p>
    <w:p w14:paraId="6CEEE7C5" w14:textId="77777777" w:rsidR="00ED0E16" w:rsidRPr="00ED0E16" w:rsidRDefault="00ED0E16" w:rsidP="00ED3CAB"/>
    <w:p w14:paraId="45A9D4A8" w14:textId="1C6EFA83" w:rsidR="009E69A4" w:rsidRDefault="009E69A4" w:rsidP="009E69A4">
      <w:r>
        <w:t xml:space="preserve">Students, staff, administrators, and faculty are entitled to an employment and educational environment that is free of </w:t>
      </w:r>
      <w:r w:rsidR="00AE06EF">
        <w:t xml:space="preserve">discrimination, </w:t>
      </w:r>
      <w:r>
        <w:t>harassment</w:t>
      </w:r>
      <w:r w:rsidR="00AE06EF">
        <w:t>, and retaliation</w:t>
      </w:r>
      <w:r>
        <w:t xml:space="preserve">. This Policy is not meant to inhibit or prohibit educational content or discussions inside or outside of the classroom that include </w:t>
      </w:r>
      <w:proofErr w:type="gramStart"/>
      <w:r>
        <w:t>germane</w:t>
      </w:r>
      <w:proofErr w:type="gramEnd"/>
      <w:r>
        <w:t xml:space="preserve"> but controversial</w:t>
      </w:r>
      <w:r w:rsidR="00AE06EF">
        <w:t xml:space="preserve"> </w:t>
      </w:r>
      <w:r>
        <w:t xml:space="preserve">or sensitive subject matters protected by academic freedom. </w:t>
      </w:r>
    </w:p>
    <w:p w14:paraId="1F50046E" w14:textId="77777777" w:rsidR="009E69A4" w:rsidRDefault="009E69A4" w:rsidP="009E69A4"/>
    <w:p w14:paraId="78ACB92B" w14:textId="78ABF74C" w:rsidR="005748DD" w:rsidRDefault="009E69A4" w:rsidP="009E69A4">
      <w:r>
        <w:t xml:space="preserve">The sections below describe the specific forms of legally prohibited </w:t>
      </w:r>
      <w:r w:rsidR="00AE06EF">
        <w:t xml:space="preserve">discrimination, </w:t>
      </w:r>
      <w:r>
        <w:t>harassment</w:t>
      </w:r>
      <w:r w:rsidR="00AE06EF">
        <w:t>, and retaliation</w:t>
      </w:r>
      <w:r>
        <w:t xml:space="preserve"> that are also prohibited under </w:t>
      </w:r>
      <w:r w:rsidRPr="009252B6">
        <w:rPr>
          <w:highlight w:val="lightGray"/>
        </w:rPr>
        <w:t>Recipient</w:t>
      </w:r>
      <w:r>
        <w:t xml:space="preserve"> </w:t>
      </w:r>
      <w:r w:rsidR="005748DD">
        <w:t>P</w:t>
      </w:r>
      <w:r w:rsidR="00561F16">
        <w:t>olicy</w:t>
      </w:r>
      <w:r>
        <w:t xml:space="preserve">. When speech or conduct is protected by academic freedom </w:t>
      </w:r>
      <w:r w:rsidRPr="009252B6">
        <w:rPr>
          <w:highlight w:val="lightGray"/>
        </w:rPr>
        <w:t>and/or the First Amendment</w:t>
      </w:r>
      <w:r>
        <w:t xml:space="preserve">, it will not be considered a violation of </w:t>
      </w:r>
      <w:r w:rsidRPr="009252B6">
        <w:rPr>
          <w:highlight w:val="lightGray"/>
        </w:rPr>
        <w:t>Recipient</w:t>
      </w:r>
      <w:r>
        <w:t xml:space="preserve"> </w:t>
      </w:r>
      <w:r w:rsidR="005748DD">
        <w:t>P</w:t>
      </w:r>
      <w:r w:rsidR="00561F16">
        <w:t>olicy</w:t>
      </w:r>
      <w:r>
        <w:t xml:space="preserve">, though supportive measures will be offered to those impacted. </w:t>
      </w:r>
    </w:p>
    <w:p w14:paraId="19CE250E" w14:textId="77777777" w:rsidR="005748DD" w:rsidRDefault="005748DD" w:rsidP="009E69A4"/>
    <w:p w14:paraId="5BC6A9CE" w14:textId="6AD21DCD" w:rsidR="009E69A4" w:rsidRDefault="009E69A4" w:rsidP="009E69A4">
      <w:r>
        <w:t xml:space="preserve">All offense definitions </w:t>
      </w:r>
      <w:r w:rsidR="005748DD">
        <w:t xml:space="preserve">below </w:t>
      </w:r>
      <w:r>
        <w:t>encompass actual and/or attempted offenses.</w:t>
      </w:r>
    </w:p>
    <w:p w14:paraId="5E9AE961" w14:textId="77777777" w:rsidR="007A03BF" w:rsidRDefault="007A03BF" w:rsidP="009E69A4"/>
    <w:p w14:paraId="539A7175" w14:textId="3A40F3AC" w:rsidR="00AE06EF" w:rsidRDefault="00AE06EF" w:rsidP="00AE06EF">
      <w:r w:rsidRPr="009C123A">
        <w:t xml:space="preserve">Any of the </w:t>
      </w:r>
      <w:r>
        <w:t xml:space="preserve">following </w:t>
      </w:r>
      <w:r w:rsidRPr="009C123A">
        <w:t xml:space="preserve">offenses can be charged as or combined as pattern offenses, in which case the </w:t>
      </w:r>
      <w:r>
        <w:t>Notice of Investigation</w:t>
      </w:r>
      <w:r w:rsidRPr="009C123A">
        <w:t xml:space="preserve"> </w:t>
      </w:r>
      <w:r w:rsidR="0023151C">
        <w:t xml:space="preserve">and Allegation </w:t>
      </w:r>
      <w:r w:rsidR="005748DD">
        <w:t xml:space="preserve">(NOIA) </w:t>
      </w:r>
      <w:r w:rsidRPr="009C123A">
        <w:t xml:space="preserve">will clearly indicate that both individual incidents and a pattern of conduct </w:t>
      </w:r>
      <w:r>
        <w:t>are being</w:t>
      </w:r>
      <w:r w:rsidRPr="009C123A">
        <w:t xml:space="preserve"> investigated. A pattern may exist and be charged when there is a potential substantial similarity to incidents where the proof of one could make it more likely that the other(s) occurred, and </w:t>
      </w:r>
      <w:proofErr w:type="gramStart"/>
      <w:r w:rsidRPr="009C123A">
        <w:t>vice-versa</w:t>
      </w:r>
      <w:proofErr w:type="gramEnd"/>
      <w:r w:rsidRPr="009C123A">
        <w:t>. Patterns may exist based on target selection, similarity of offense, or other factors. Where a pattern is found, it can be the basis to enhance sanctions, accordingly.</w:t>
      </w:r>
    </w:p>
    <w:p w14:paraId="6B20421E" w14:textId="77777777" w:rsidR="00AE06EF" w:rsidRDefault="00AE06EF" w:rsidP="009E69A4"/>
    <w:p w14:paraId="34FBAFE6" w14:textId="0E5F0BA5" w:rsidR="00AE06EF" w:rsidRDefault="00AE06EF" w:rsidP="00A93E4F">
      <w:r>
        <w:t xml:space="preserve">Violation of any other </w:t>
      </w:r>
      <w:r w:rsidRPr="007F6017">
        <w:rPr>
          <w:highlight w:val="lightGray"/>
        </w:rPr>
        <w:t>Recipient</w:t>
      </w:r>
      <w:r>
        <w:t xml:space="preserve"> policies may constitute </w:t>
      </w:r>
      <w:r w:rsidR="00544A19">
        <w:t xml:space="preserve">discrimination or harassment when </w:t>
      </w:r>
      <w:r>
        <w:t xml:space="preserve">motivated by actual or perceived protected characteristic(s), and the result is a limitation or denial of employment or educational access, benefits, or opportunities. </w:t>
      </w:r>
    </w:p>
    <w:p w14:paraId="6F6D265D" w14:textId="77777777" w:rsidR="009E69A4" w:rsidRPr="009252B6" w:rsidRDefault="009E69A4" w:rsidP="009E69A4"/>
    <w:p w14:paraId="4965B884" w14:textId="1538EAF8" w:rsidR="009E69A4" w:rsidRDefault="009E69A4" w:rsidP="009E69A4">
      <w:pPr>
        <w:pStyle w:val="Heading2"/>
      </w:pPr>
      <w:bookmarkStart w:id="30" w:name="_Toc168477504"/>
      <w:r>
        <w:t>Discriminat</w:t>
      </w:r>
      <w:r w:rsidR="00A93E4F">
        <w:t>ion</w:t>
      </w:r>
      <w:bookmarkEnd w:id="30"/>
    </w:p>
    <w:p w14:paraId="5E648E2C" w14:textId="77777777" w:rsidR="009E69A4" w:rsidRDefault="009E69A4" w:rsidP="009E69A4"/>
    <w:p w14:paraId="68A16FF5" w14:textId="6F4E6B5E" w:rsidR="00A93E4F" w:rsidRDefault="00A93E4F" w:rsidP="00A93E4F">
      <w:pPr>
        <w:ind w:left="720"/>
      </w:pPr>
      <w:r w:rsidRPr="00C91A1E">
        <w:t xml:space="preserve">Discrimination is </w:t>
      </w:r>
      <w:r w:rsidR="00511993">
        <w:t>different treatment</w:t>
      </w:r>
      <w:r w:rsidRPr="00C91A1E">
        <w:t xml:space="preserve"> with respect to an individual</w:t>
      </w:r>
      <w:r>
        <w:t>’</w:t>
      </w:r>
      <w:r w:rsidRPr="00C91A1E">
        <w:t xml:space="preserve">s employment or participation in an education program or activity based, in whole or in part, upon the </w:t>
      </w:r>
      <w:r>
        <w:t xml:space="preserve">individual’s actual or perceived protected characteristic. </w:t>
      </w:r>
      <w:r w:rsidRPr="00C91A1E">
        <w:t xml:space="preserve">Discrimination also includes </w:t>
      </w:r>
      <w:r>
        <w:lastRenderedPageBreak/>
        <w:t>allegations</w:t>
      </w:r>
      <w:r w:rsidRPr="00C91A1E">
        <w:t xml:space="preserve"> of a failure to provide reasonable accommodations as required by law</w:t>
      </w:r>
      <w:r>
        <w:t xml:space="preserve"> or policy</w:t>
      </w:r>
      <w:r w:rsidRPr="00C91A1E">
        <w:t xml:space="preserve">, such as for disability, religion, or creed. </w:t>
      </w:r>
    </w:p>
    <w:p w14:paraId="73CC16DC" w14:textId="77777777" w:rsidR="00A93E4F" w:rsidRDefault="00A93E4F" w:rsidP="009E69A4">
      <w:pPr>
        <w:ind w:left="720"/>
      </w:pPr>
    </w:p>
    <w:p w14:paraId="6546611F" w14:textId="77777777" w:rsidR="00A93E4F" w:rsidRDefault="00A93E4F" w:rsidP="00A93E4F">
      <w:pPr>
        <w:ind w:left="720"/>
        <w:rPr>
          <w:rFonts w:cs="Calibri"/>
        </w:rPr>
      </w:pPr>
      <w:r>
        <w:t>Discrimination</w:t>
      </w:r>
      <w:r>
        <w:rPr>
          <w:rFonts w:cs="Calibri"/>
        </w:rPr>
        <w:t xml:space="preserve"> can take two primary forms:</w:t>
      </w:r>
    </w:p>
    <w:p w14:paraId="5808DBB8" w14:textId="77777777" w:rsidR="00A93E4F" w:rsidRDefault="00A93E4F" w:rsidP="00A93E4F">
      <w:pPr>
        <w:ind w:left="720"/>
        <w:rPr>
          <w:rFonts w:cs="Calibri"/>
        </w:rPr>
      </w:pPr>
    </w:p>
    <w:p w14:paraId="66E20C8A" w14:textId="628AF03D" w:rsidR="00A93E4F" w:rsidRPr="00EF1BA2" w:rsidRDefault="00A93E4F" w:rsidP="00E67059">
      <w:pPr>
        <w:pStyle w:val="ListParagraph"/>
        <w:numPr>
          <w:ilvl w:val="0"/>
          <w:numId w:val="7"/>
        </w:numPr>
      </w:pPr>
      <w:r>
        <w:rPr>
          <w:b/>
          <w:bCs/>
        </w:rPr>
        <w:t>Disparate Treatment Discrimination</w:t>
      </w:r>
      <w:r w:rsidR="00773106">
        <w:rPr>
          <w:b/>
          <w:bCs/>
        </w:rPr>
        <w:t>:</w:t>
      </w:r>
    </w:p>
    <w:p w14:paraId="0907FD27" w14:textId="2E79D85B" w:rsidR="00A93E4F" w:rsidRDefault="00A93E4F" w:rsidP="005521DD">
      <w:pPr>
        <w:pStyle w:val="ListParagraph"/>
        <w:numPr>
          <w:ilvl w:val="1"/>
          <w:numId w:val="50"/>
        </w:numPr>
      </w:pPr>
      <w:r>
        <w:t>A</w:t>
      </w:r>
      <w:r w:rsidR="00813595">
        <w:t xml:space="preserve">ny intentional </w:t>
      </w:r>
      <w:r w:rsidR="00E45AE5">
        <w:t xml:space="preserve">differential </w:t>
      </w:r>
      <w:r w:rsidR="00813595">
        <w:t xml:space="preserve">treatment </w:t>
      </w:r>
      <w:r w:rsidR="00D0181D">
        <w:t xml:space="preserve">of a person or </w:t>
      </w:r>
      <w:proofErr w:type="gramStart"/>
      <w:r w:rsidR="00D0181D">
        <w:t>persons</w:t>
      </w:r>
      <w:proofErr w:type="gramEnd"/>
      <w:r w:rsidR="00D0181D">
        <w:t xml:space="preserve"> </w:t>
      </w:r>
      <w:r>
        <w:t xml:space="preserve">that </w:t>
      </w:r>
      <w:r w:rsidRPr="000549E5">
        <w:t xml:space="preserve">is based on an individual’s </w:t>
      </w:r>
      <w:r>
        <w:t>actual or perceived protected characteristic</w:t>
      </w:r>
      <w:r w:rsidR="00813595">
        <w:t xml:space="preserve"> </w:t>
      </w:r>
      <w:r w:rsidRPr="000549E5">
        <w:t xml:space="preserve">and that: </w:t>
      </w:r>
    </w:p>
    <w:p w14:paraId="12876DAE" w14:textId="77777777" w:rsidR="00A93E4F" w:rsidRDefault="00A93E4F" w:rsidP="005521DD">
      <w:pPr>
        <w:pStyle w:val="ListParagraph"/>
        <w:numPr>
          <w:ilvl w:val="2"/>
          <w:numId w:val="50"/>
        </w:numPr>
      </w:pPr>
      <w:r>
        <w:t>E</w:t>
      </w:r>
      <w:r w:rsidRPr="000549E5">
        <w:t xml:space="preserve">xcludes an individual from participation </w:t>
      </w:r>
      <w:proofErr w:type="gramStart"/>
      <w:r w:rsidRPr="000549E5">
        <w:t>in;</w:t>
      </w:r>
      <w:proofErr w:type="gramEnd"/>
    </w:p>
    <w:p w14:paraId="70875BA3" w14:textId="77777777" w:rsidR="00A93E4F" w:rsidRDefault="00A93E4F" w:rsidP="005521DD">
      <w:pPr>
        <w:pStyle w:val="ListParagraph"/>
        <w:numPr>
          <w:ilvl w:val="2"/>
          <w:numId w:val="50"/>
        </w:numPr>
      </w:pPr>
      <w:r>
        <w:t>D</w:t>
      </w:r>
      <w:r w:rsidRPr="000549E5">
        <w:t>enies the individual benefits of; or</w:t>
      </w:r>
    </w:p>
    <w:p w14:paraId="13D37B99" w14:textId="3FCAE313" w:rsidR="00A93E4F" w:rsidRDefault="00A93E4F" w:rsidP="005521DD">
      <w:pPr>
        <w:pStyle w:val="ListParagraph"/>
        <w:numPr>
          <w:ilvl w:val="2"/>
          <w:numId w:val="50"/>
        </w:numPr>
      </w:pPr>
      <w:r>
        <w:t>O</w:t>
      </w:r>
      <w:r w:rsidRPr="000549E5">
        <w:t xml:space="preserve">therwise adversely affects </w:t>
      </w:r>
      <w:proofErr w:type="gramStart"/>
      <w:r w:rsidRPr="000549E5">
        <w:t>a term</w:t>
      </w:r>
      <w:proofErr w:type="gramEnd"/>
      <w:r w:rsidRPr="000549E5">
        <w:t xml:space="preserve"> or condition of an individual’s participation in a </w:t>
      </w:r>
      <w:r w:rsidRPr="00EF1BA2">
        <w:rPr>
          <w:highlight w:val="lightGray"/>
        </w:rPr>
        <w:t>Recipient</w:t>
      </w:r>
      <w:r>
        <w:t xml:space="preserve"> </w:t>
      </w:r>
      <w:r w:rsidRPr="000549E5">
        <w:t>program or activity.</w:t>
      </w:r>
      <w:r>
        <w:br/>
      </w:r>
    </w:p>
    <w:p w14:paraId="71EFED12" w14:textId="136DE16B" w:rsidR="008F3752" w:rsidRPr="00ED3CAB" w:rsidRDefault="00A93E4F" w:rsidP="00E67059">
      <w:pPr>
        <w:pStyle w:val="ListParagraph"/>
        <w:numPr>
          <w:ilvl w:val="0"/>
          <w:numId w:val="7"/>
        </w:numPr>
        <w:rPr>
          <w:rFonts w:ascii="AppleSystemUIFont" w:eastAsiaTheme="minorHAnsi" w:hAnsi="AppleSystemUIFont" w:cs="AppleSystemUIFont"/>
          <w:sz w:val="26"/>
          <w:szCs w:val="26"/>
        </w:rPr>
      </w:pPr>
      <w:r>
        <w:rPr>
          <w:b/>
          <w:bCs/>
        </w:rPr>
        <w:t>Disparate Impact Discrimination</w:t>
      </w:r>
      <w:r w:rsidR="00773106">
        <w:rPr>
          <w:b/>
          <w:bCs/>
        </w:rPr>
        <w:t>:</w:t>
      </w:r>
    </w:p>
    <w:p w14:paraId="4E994A87" w14:textId="74CCBEA2" w:rsidR="00813595" w:rsidRDefault="008F3752" w:rsidP="005521DD">
      <w:pPr>
        <w:pStyle w:val="ListParagraph"/>
        <w:numPr>
          <w:ilvl w:val="1"/>
          <w:numId w:val="51"/>
        </w:numPr>
      </w:pPr>
      <w:r w:rsidRPr="00ED3CAB">
        <w:rPr>
          <w:rFonts w:asciiTheme="minorHAnsi" w:eastAsiaTheme="minorHAnsi" w:hAnsiTheme="minorHAnsi" w:cstheme="minorHAnsi"/>
        </w:rPr>
        <w:t>Disparate impact occurs when policies</w:t>
      </w:r>
      <w:r>
        <w:rPr>
          <w:rFonts w:asciiTheme="minorHAnsi" w:eastAsiaTheme="minorHAnsi" w:hAnsiTheme="minorHAnsi" w:cstheme="minorHAnsi"/>
        </w:rPr>
        <w:t xml:space="preserve"> or </w:t>
      </w:r>
      <w:r w:rsidRPr="00ED3CAB">
        <w:rPr>
          <w:rFonts w:asciiTheme="minorHAnsi" w:eastAsiaTheme="minorHAnsi" w:hAnsiTheme="minorHAnsi" w:cstheme="minorHAnsi"/>
        </w:rPr>
        <w:t>practices</w:t>
      </w:r>
      <w:r>
        <w:rPr>
          <w:rFonts w:asciiTheme="minorHAnsi" w:eastAsiaTheme="minorHAnsi" w:hAnsiTheme="minorHAnsi" w:cstheme="minorHAnsi"/>
        </w:rPr>
        <w:t xml:space="preserve"> </w:t>
      </w:r>
      <w:r w:rsidRPr="00ED3CAB">
        <w:rPr>
          <w:rFonts w:asciiTheme="minorHAnsi" w:eastAsiaTheme="minorHAnsi" w:hAnsiTheme="minorHAnsi" w:cstheme="minorHAnsi"/>
        </w:rPr>
        <w:t xml:space="preserve">that appear to be neutral </w:t>
      </w:r>
      <w:r>
        <w:rPr>
          <w:rFonts w:asciiTheme="minorHAnsi" w:eastAsiaTheme="minorHAnsi" w:hAnsiTheme="minorHAnsi" w:cstheme="minorHAnsi"/>
        </w:rPr>
        <w:t xml:space="preserve">unintentionally </w:t>
      </w:r>
      <w:r w:rsidRPr="00ED3CAB">
        <w:rPr>
          <w:rFonts w:asciiTheme="minorHAnsi" w:eastAsiaTheme="minorHAnsi" w:hAnsiTheme="minorHAnsi" w:cstheme="minorHAnsi"/>
        </w:rPr>
        <w:t>result in a disproportionate impact on a protected group</w:t>
      </w:r>
      <w:r>
        <w:rPr>
          <w:rFonts w:asciiTheme="minorHAnsi" w:eastAsiaTheme="minorHAnsi" w:hAnsiTheme="minorHAnsi" w:cstheme="minorHAnsi"/>
        </w:rPr>
        <w:t xml:space="preserve"> or person that:</w:t>
      </w:r>
      <w:r w:rsidR="00813595" w:rsidRPr="000549E5">
        <w:t xml:space="preserve"> </w:t>
      </w:r>
    </w:p>
    <w:p w14:paraId="69CCF47B" w14:textId="77777777" w:rsidR="00813595" w:rsidRDefault="00813595" w:rsidP="005521DD">
      <w:pPr>
        <w:pStyle w:val="ListParagraph"/>
        <w:numPr>
          <w:ilvl w:val="2"/>
          <w:numId w:val="51"/>
        </w:numPr>
      </w:pPr>
      <w:r>
        <w:t>E</w:t>
      </w:r>
      <w:r w:rsidRPr="000549E5">
        <w:t xml:space="preserve">xcludes an individual from participation </w:t>
      </w:r>
      <w:proofErr w:type="gramStart"/>
      <w:r w:rsidRPr="000549E5">
        <w:t>in;</w:t>
      </w:r>
      <w:proofErr w:type="gramEnd"/>
    </w:p>
    <w:p w14:paraId="15CE8604" w14:textId="77777777" w:rsidR="00F766D9" w:rsidRDefault="00813595" w:rsidP="005521DD">
      <w:pPr>
        <w:pStyle w:val="ListParagraph"/>
        <w:numPr>
          <w:ilvl w:val="2"/>
          <w:numId w:val="51"/>
        </w:numPr>
      </w:pPr>
      <w:r>
        <w:t>D</w:t>
      </w:r>
      <w:r w:rsidRPr="000549E5">
        <w:t>enies the individual benefits of; or</w:t>
      </w:r>
    </w:p>
    <w:p w14:paraId="5358FF69" w14:textId="60F0ED5A" w:rsidR="00773106" w:rsidRDefault="00813595" w:rsidP="005521DD">
      <w:pPr>
        <w:pStyle w:val="ListParagraph"/>
        <w:numPr>
          <w:ilvl w:val="2"/>
          <w:numId w:val="51"/>
        </w:numPr>
      </w:pPr>
      <w:r>
        <w:t>O</w:t>
      </w:r>
      <w:r w:rsidRPr="000549E5">
        <w:t xml:space="preserve">therwise adversely affects a term or condition of an individual’s participation in a </w:t>
      </w:r>
      <w:r w:rsidRPr="00F766D9">
        <w:rPr>
          <w:highlight w:val="lightGray"/>
        </w:rPr>
        <w:t>Recipient</w:t>
      </w:r>
      <w:r>
        <w:t xml:space="preserve"> </w:t>
      </w:r>
      <w:r w:rsidRPr="000549E5">
        <w:t>program or activity.</w:t>
      </w:r>
    </w:p>
    <w:p w14:paraId="2F4DD9B2" w14:textId="01636854" w:rsidR="000D5133" w:rsidRDefault="000D5133" w:rsidP="00773106">
      <w:pPr>
        <w:pStyle w:val="Heading2"/>
      </w:pPr>
      <w:bookmarkStart w:id="31" w:name="_Toc168477505"/>
      <w:r>
        <w:t>Discriminatory Harassment</w:t>
      </w:r>
      <w:bookmarkEnd w:id="31"/>
    </w:p>
    <w:p w14:paraId="49E4D006" w14:textId="6A325FBD" w:rsidR="000D5133" w:rsidRDefault="000D5133" w:rsidP="005521DD">
      <w:pPr>
        <w:pStyle w:val="ListParagraph"/>
        <w:numPr>
          <w:ilvl w:val="0"/>
          <w:numId w:val="52"/>
        </w:numPr>
      </w:pPr>
      <w:r>
        <w:t xml:space="preserve">unwelcome conduct </w:t>
      </w:r>
      <w:proofErr w:type="gramStart"/>
      <w:r>
        <w:t>on the basis of</w:t>
      </w:r>
      <w:proofErr w:type="gramEnd"/>
      <w:r>
        <w:t xml:space="preserve"> actual or perceived protected characteristic(s), that</w:t>
      </w:r>
    </w:p>
    <w:p w14:paraId="6A0D4141" w14:textId="77777777" w:rsidR="000D5133" w:rsidRDefault="000D5133" w:rsidP="005521DD">
      <w:pPr>
        <w:pStyle w:val="ListParagraph"/>
        <w:numPr>
          <w:ilvl w:val="0"/>
          <w:numId w:val="52"/>
        </w:numPr>
      </w:pPr>
      <w:r>
        <w:t>based on the totality of the circumstances,</w:t>
      </w:r>
    </w:p>
    <w:p w14:paraId="198D5AF8" w14:textId="77777777" w:rsidR="000D5133" w:rsidRDefault="000D5133" w:rsidP="005521DD">
      <w:pPr>
        <w:pStyle w:val="ListParagraph"/>
        <w:numPr>
          <w:ilvl w:val="0"/>
          <w:numId w:val="52"/>
        </w:numPr>
      </w:pPr>
      <w:r>
        <w:t>is subjectively and objectively offensive, and</w:t>
      </w:r>
    </w:p>
    <w:p w14:paraId="5EE79556" w14:textId="77777777" w:rsidR="000D5133" w:rsidRDefault="000D5133" w:rsidP="005521DD">
      <w:pPr>
        <w:pStyle w:val="ListParagraph"/>
        <w:numPr>
          <w:ilvl w:val="0"/>
          <w:numId w:val="52"/>
        </w:numPr>
      </w:pPr>
      <w:r>
        <w:t>is so severe or pervasive,</w:t>
      </w:r>
    </w:p>
    <w:p w14:paraId="7558FBC0" w14:textId="77777777" w:rsidR="000D5133" w:rsidRDefault="000D5133" w:rsidP="005521DD">
      <w:pPr>
        <w:pStyle w:val="ListParagraph"/>
        <w:numPr>
          <w:ilvl w:val="0"/>
          <w:numId w:val="52"/>
        </w:numPr>
      </w:pPr>
      <w:r>
        <w:t xml:space="preserve">that it limits or denies a person’s ability to participate in or benefit from the </w:t>
      </w:r>
      <w:r w:rsidRPr="009252B6">
        <w:rPr>
          <w:highlight w:val="lightGray"/>
        </w:rPr>
        <w:t>Recipient</w:t>
      </w:r>
      <w:r w:rsidRPr="00066AC0">
        <w:t>’</w:t>
      </w:r>
      <w:r>
        <w:t xml:space="preserve">s education program or activity </w:t>
      </w:r>
    </w:p>
    <w:p w14:paraId="0E35308B" w14:textId="77777777" w:rsidR="000D5133" w:rsidRPr="000D5133" w:rsidRDefault="000D5133" w:rsidP="000D5133"/>
    <w:p w14:paraId="0DFE34FE" w14:textId="66E30BF0" w:rsidR="009E69A4" w:rsidRDefault="00773106" w:rsidP="00773106">
      <w:pPr>
        <w:pStyle w:val="Heading2"/>
      </w:pPr>
      <w:bookmarkStart w:id="32" w:name="_Toc168477506"/>
      <w:r>
        <w:t>Sex-</w:t>
      </w:r>
      <w:r w:rsidR="00B91ED5">
        <w:t>b</w:t>
      </w:r>
      <w:r>
        <w:t xml:space="preserve">ased </w:t>
      </w:r>
      <w:r w:rsidR="009E69A4">
        <w:t>Harassment</w:t>
      </w:r>
      <w:r w:rsidR="00D0181D">
        <w:t xml:space="preserve"> </w:t>
      </w:r>
      <w:r w:rsidR="00CD0A79">
        <w:t xml:space="preserve">(Applicable </w:t>
      </w:r>
      <w:r w:rsidR="00E97F17">
        <w:t>under</w:t>
      </w:r>
      <w:r w:rsidR="00CD0A79">
        <w:t xml:space="preserve"> Title IX, Title VII, and the Fair Housing Act)</w:t>
      </w:r>
      <w:bookmarkEnd w:id="32"/>
    </w:p>
    <w:p w14:paraId="1BB68F17" w14:textId="77777777" w:rsidR="009E69A4" w:rsidRDefault="009E69A4" w:rsidP="009E69A4">
      <w:pPr>
        <w:ind w:left="360"/>
        <w:rPr>
          <w:b/>
          <w:bCs/>
        </w:rPr>
      </w:pPr>
    </w:p>
    <w:p w14:paraId="1123AD09" w14:textId="44D81D9F" w:rsidR="009E69A4" w:rsidRDefault="009E69A4" w:rsidP="00485EAD">
      <w:pPr>
        <w:ind w:left="1080"/>
      </w:pPr>
      <w:r w:rsidRPr="00E52013">
        <w:rPr>
          <w:b/>
          <w:bCs/>
        </w:rPr>
        <w:t>Sex</w:t>
      </w:r>
      <w:r w:rsidR="00773106">
        <w:rPr>
          <w:b/>
          <w:bCs/>
        </w:rPr>
        <w:t>-</w:t>
      </w:r>
      <w:r w:rsidR="00B91ED5">
        <w:rPr>
          <w:b/>
          <w:bCs/>
        </w:rPr>
        <w:t>b</w:t>
      </w:r>
      <w:r w:rsidR="00773106">
        <w:rPr>
          <w:b/>
          <w:bCs/>
        </w:rPr>
        <w:t>ased</w:t>
      </w:r>
      <w:r w:rsidRPr="00E52013">
        <w:rPr>
          <w:b/>
          <w:bCs/>
        </w:rPr>
        <w:t xml:space="preserve"> Harassment</w:t>
      </w:r>
      <w:r>
        <w:t xml:space="preserve"> </w:t>
      </w:r>
      <w:r w:rsidR="00B91ED5">
        <w:t xml:space="preserve">is a form of sex discrimination and means sexual harassment and other harassment </w:t>
      </w:r>
      <w:proofErr w:type="gramStart"/>
      <w:r w:rsidR="00B91ED5">
        <w:t>on the basis of</w:t>
      </w:r>
      <w:proofErr w:type="gramEnd"/>
      <w:r w:rsidR="00B91ED5">
        <w:t xml:space="preserve"> sex</w:t>
      </w:r>
      <w:r w:rsidR="0050502A">
        <w:t>,</w:t>
      </w:r>
      <w:r w:rsidR="00812C50">
        <w:rPr>
          <w:rStyle w:val="FootnoteReference"/>
        </w:rPr>
        <w:footnoteReference w:id="6"/>
      </w:r>
      <w:r w:rsidR="00B91ED5">
        <w:t xml:space="preserve"> including sex stereotypes, sex charac</w:t>
      </w:r>
      <w:r w:rsidR="0041470F">
        <w:t>t</w:t>
      </w:r>
      <w:r w:rsidR="00B91ED5">
        <w:t>eristics, pregnancy or related conditions, sexual orientation, and gender identity</w:t>
      </w:r>
      <w:r w:rsidR="00773106">
        <w:t xml:space="preserve">; </w:t>
      </w:r>
      <w:r>
        <w:t xml:space="preserve">sexual assault, dating violence, </w:t>
      </w:r>
      <w:r w:rsidR="00773106">
        <w:t xml:space="preserve">domestic violence, </w:t>
      </w:r>
      <w:r>
        <w:t>and stalking</w:t>
      </w:r>
      <w:r w:rsidR="009714D7">
        <w:t>.</w:t>
      </w:r>
    </w:p>
    <w:p w14:paraId="64247607" w14:textId="77777777" w:rsidR="009714D7" w:rsidRDefault="009714D7" w:rsidP="009E69A4">
      <w:pPr>
        <w:ind w:left="720"/>
      </w:pPr>
    </w:p>
    <w:p w14:paraId="56E74115" w14:textId="1FDD0F04" w:rsidR="00141B10" w:rsidRPr="00141B10" w:rsidRDefault="00141B10" w:rsidP="005521DD">
      <w:pPr>
        <w:pStyle w:val="ListParagraph"/>
        <w:numPr>
          <w:ilvl w:val="0"/>
          <w:numId w:val="32"/>
        </w:numPr>
        <w:rPr>
          <w:b/>
          <w:bCs/>
        </w:rPr>
      </w:pPr>
      <w:r w:rsidRPr="00141B10">
        <w:rPr>
          <w:b/>
          <w:bCs/>
        </w:rPr>
        <w:t xml:space="preserve">Quid </w:t>
      </w:r>
      <w:r w:rsidR="009714D7">
        <w:rPr>
          <w:b/>
          <w:bCs/>
        </w:rPr>
        <w:t>p</w:t>
      </w:r>
      <w:r w:rsidRPr="00141B10">
        <w:rPr>
          <w:b/>
          <w:bCs/>
        </w:rPr>
        <w:t xml:space="preserve">ro </w:t>
      </w:r>
      <w:r w:rsidR="009714D7">
        <w:rPr>
          <w:b/>
          <w:bCs/>
        </w:rPr>
        <w:t>q</w:t>
      </w:r>
      <w:r w:rsidRPr="00141B10">
        <w:rPr>
          <w:b/>
          <w:bCs/>
        </w:rPr>
        <w:t>uo</w:t>
      </w:r>
      <w:r>
        <w:rPr>
          <w:b/>
          <w:bCs/>
        </w:rPr>
        <w:t>:</w:t>
      </w:r>
    </w:p>
    <w:p w14:paraId="1AE01CCB" w14:textId="77777777" w:rsidR="00141B10" w:rsidRDefault="009E69A4" w:rsidP="005521DD">
      <w:pPr>
        <w:pStyle w:val="ListParagraph"/>
        <w:numPr>
          <w:ilvl w:val="0"/>
          <w:numId w:val="53"/>
        </w:numPr>
      </w:pPr>
      <w:r>
        <w:t xml:space="preserve">an employee </w:t>
      </w:r>
      <w:r w:rsidR="00141B10">
        <w:t xml:space="preserve">agent, or other person authorized by the </w:t>
      </w:r>
      <w:r w:rsidR="00141B10" w:rsidRPr="00AF4053">
        <w:rPr>
          <w:highlight w:val="lightGray"/>
        </w:rPr>
        <w:t>Recipient</w:t>
      </w:r>
      <w:r w:rsidR="00141B10">
        <w:t>,</w:t>
      </w:r>
    </w:p>
    <w:p w14:paraId="21B65C36" w14:textId="77777777" w:rsidR="00141B10" w:rsidRDefault="00141B10" w:rsidP="005521DD">
      <w:pPr>
        <w:pStyle w:val="ListParagraph"/>
        <w:numPr>
          <w:ilvl w:val="0"/>
          <w:numId w:val="53"/>
        </w:numPr>
      </w:pPr>
      <w:r>
        <w:lastRenderedPageBreak/>
        <w:t xml:space="preserve">to provide </w:t>
      </w:r>
      <w:proofErr w:type="gramStart"/>
      <w:r>
        <w:t>an aid</w:t>
      </w:r>
      <w:proofErr w:type="gramEnd"/>
      <w:r>
        <w:t xml:space="preserve">, benefit, or service under the </w:t>
      </w:r>
      <w:r w:rsidRPr="00AF4053">
        <w:rPr>
          <w:highlight w:val="lightGray"/>
        </w:rPr>
        <w:t>Recipient</w:t>
      </w:r>
      <w:r>
        <w:t>’s education program or activity,</w:t>
      </w:r>
    </w:p>
    <w:p w14:paraId="267F7826" w14:textId="77777777" w:rsidR="00141B10" w:rsidRDefault="00141B10" w:rsidP="005521DD">
      <w:pPr>
        <w:pStyle w:val="ListParagraph"/>
        <w:numPr>
          <w:ilvl w:val="0"/>
          <w:numId w:val="53"/>
        </w:numPr>
      </w:pPr>
      <w:r>
        <w:t>explicitly or impliedly conditioning the provision of such aid, benefit, or service,</w:t>
      </w:r>
    </w:p>
    <w:p w14:paraId="21D1D340" w14:textId="0BB8B82F" w:rsidR="00141B10" w:rsidRDefault="00141B10" w:rsidP="005521DD">
      <w:pPr>
        <w:pStyle w:val="ListParagraph"/>
        <w:numPr>
          <w:ilvl w:val="0"/>
          <w:numId w:val="53"/>
        </w:numPr>
      </w:pPr>
      <w:r>
        <w:t>on a person’s participation in unwelcome sexual conduct.</w:t>
      </w:r>
      <w:r>
        <w:br/>
      </w:r>
    </w:p>
    <w:p w14:paraId="18754787" w14:textId="75270627" w:rsidR="009E69A4" w:rsidRDefault="00141B10" w:rsidP="005521DD">
      <w:pPr>
        <w:pStyle w:val="ListParagraph"/>
        <w:numPr>
          <w:ilvl w:val="0"/>
          <w:numId w:val="32"/>
        </w:numPr>
      </w:pPr>
      <w:r w:rsidRPr="00F539C8">
        <w:rPr>
          <w:b/>
          <w:bCs/>
        </w:rPr>
        <w:t xml:space="preserve">Hostile Environment </w:t>
      </w:r>
      <w:r w:rsidR="009E69A4" w:rsidRPr="00F539C8">
        <w:rPr>
          <w:b/>
          <w:bCs/>
        </w:rPr>
        <w:t>Harassment</w:t>
      </w:r>
      <w:r w:rsidRPr="00F539C8">
        <w:rPr>
          <w:b/>
          <w:bCs/>
        </w:rPr>
        <w:t>:</w:t>
      </w:r>
      <w:r w:rsidR="009E69A4" w:rsidRPr="00F539C8">
        <w:rPr>
          <w:b/>
          <w:bCs/>
        </w:rPr>
        <w:t xml:space="preserve"> </w:t>
      </w:r>
    </w:p>
    <w:p w14:paraId="6645C5F4" w14:textId="6501F6EB" w:rsidR="009E69A4" w:rsidRDefault="009E69A4" w:rsidP="005521DD">
      <w:pPr>
        <w:pStyle w:val="ListParagraph"/>
        <w:numPr>
          <w:ilvl w:val="0"/>
          <w:numId w:val="54"/>
        </w:numPr>
      </w:pPr>
      <w:r>
        <w:t xml:space="preserve">unwelcome </w:t>
      </w:r>
      <w:r w:rsidR="00141B10">
        <w:t xml:space="preserve">sex-based </w:t>
      </w:r>
      <w:r>
        <w:t xml:space="preserve">conduct, </w:t>
      </w:r>
      <w:r w:rsidR="00E45558">
        <w:t>that</w:t>
      </w:r>
    </w:p>
    <w:p w14:paraId="736F435E" w14:textId="41664FC5" w:rsidR="00E45558" w:rsidRDefault="00E45558" w:rsidP="005521DD">
      <w:pPr>
        <w:pStyle w:val="ListParagraph"/>
        <w:numPr>
          <w:ilvl w:val="0"/>
          <w:numId w:val="54"/>
        </w:numPr>
      </w:pPr>
      <w:r>
        <w:t>based on the totality of the circumstances,</w:t>
      </w:r>
    </w:p>
    <w:p w14:paraId="1BF9D17D" w14:textId="13FBEBD6" w:rsidR="00141B10" w:rsidRDefault="00141B10" w:rsidP="005521DD">
      <w:pPr>
        <w:pStyle w:val="ListParagraph"/>
        <w:numPr>
          <w:ilvl w:val="0"/>
          <w:numId w:val="54"/>
        </w:numPr>
      </w:pPr>
      <w:r>
        <w:t xml:space="preserve">is </w:t>
      </w:r>
      <w:r w:rsidR="00E45558">
        <w:t>subjectively and objectively offensive, and</w:t>
      </w:r>
    </w:p>
    <w:p w14:paraId="5AF2E8A9" w14:textId="188E09DB" w:rsidR="00E45558" w:rsidRDefault="00E45558" w:rsidP="005521DD">
      <w:pPr>
        <w:pStyle w:val="ListParagraph"/>
        <w:numPr>
          <w:ilvl w:val="0"/>
          <w:numId w:val="54"/>
        </w:numPr>
      </w:pPr>
      <w:r>
        <w:t>is so severe or pervasive,</w:t>
      </w:r>
    </w:p>
    <w:p w14:paraId="39FBFE6E" w14:textId="77777777" w:rsidR="00E310CD" w:rsidRDefault="00E45558" w:rsidP="005521DD">
      <w:pPr>
        <w:pStyle w:val="ListParagraph"/>
        <w:numPr>
          <w:ilvl w:val="0"/>
          <w:numId w:val="54"/>
        </w:numPr>
      </w:pPr>
      <w:r>
        <w:t xml:space="preserve">that it limits or </w:t>
      </w:r>
      <w:r w:rsidR="00141B10">
        <w:t>denies a</w:t>
      </w:r>
      <w:r>
        <w:t xml:space="preserve"> </w:t>
      </w:r>
      <w:r w:rsidR="009714D7">
        <w:t>person</w:t>
      </w:r>
      <w:r w:rsidR="00141B10">
        <w:t xml:space="preserve">’s ability to participate in or benefit from the </w:t>
      </w:r>
      <w:r w:rsidR="009E69A4" w:rsidRPr="009252B6">
        <w:rPr>
          <w:highlight w:val="lightGray"/>
        </w:rPr>
        <w:t>Recipient</w:t>
      </w:r>
      <w:r w:rsidR="009E69A4" w:rsidRPr="00066AC0">
        <w:t>’</w:t>
      </w:r>
      <w:r w:rsidR="009E69A4">
        <w:t xml:space="preserve">s education program or activity </w:t>
      </w:r>
    </w:p>
    <w:p w14:paraId="2B4FB065" w14:textId="5872DD6D" w:rsidR="00E310CD" w:rsidRPr="00ED3CAB" w:rsidRDefault="009E69A4" w:rsidP="00433742">
      <w:pPr>
        <w:ind w:left="720"/>
      </w:pPr>
      <w:r>
        <w:br/>
      </w:r>
      <w:r w:rsidR="00E310CD" w:rsidRPr="00ED3CAB">
        <w:t xml:space="preserve">The </w:t>
      </w:r>
      <w:r w:rsidR="00E310CD" w:rsidRPr="00AF4053">
        <w:rPr>
          <w:highlight w:val="lightGray"/>
        </w:rPr>
        <w:t>Recipient</w:t>
      </w:r>
      <w:r w:rsidR="00E310CD" w:rsidRPr="00ED3CAB">
        <w:t xml:space="preserve"> reserves the right to address offensive conduct and/or harassment that (1) does not rise to the level of creating a hostile environment, or (2) that is of a generic nature and not based on a protected characteristic. Addressing such conduct will not result in the imposition of discipline under </w:t>
      </w:r>
      <w:r w:rsidR="00E310CD" w:rsidRPr="00AF4053">
        <w:rPr>
          <w:highlight w:val="lightGray"/>
        </w:rPr>
        <w:t>Recipient</w:t>
      </w:r>
      <w:r w:rsidR="00E310CD" w:rsidRPr="00ED3CAB">
        <w:t xml:space="preserve"> </w:t>
      </w:r>
      <w:r w:rsidR="00D715ED">
        <w:t>P</w:t>
      </w:r>
      <w:r w:rsidR="00E310CD" w:rsidRPr="00ED3CAB">
        <w:t xml:space="preserve">olicy, but may be addressed through respectful conversation, remedial actions, education, effective Alternative Resolution, and/or other Informal Resolution mechanisms. </w:t>
      </w:r>
    </w:p>
    <w:p w14:paraId="2B2ECAE4" w14:textId="77777777" w:rsidR="00E310CD" w:rsidRPr="00ED3CAB" w:rsidRDefault="00E310CD" w:rsidP="00E310CD"/>
    <w:p w14:paraId="3D2A4925" w14:textId="49D46842" w:rsidR="00E310CD" w:rsidRDefault="00E310CD" w:rsidP="00E310CD">
      <w:pPr>
        <w:ind w:left="720"/>
      </w:pPr>
      <w:r w:rsidRPr="00ED3CAB">
        <w:t xml:space="preserve">For assistance with Alternative Resolution and other Informal Resolution techniques and approaches, contact the </w:t>
      </w:r>
      <w:r w:rsidRPr="008E2D9B">
        <w:rPr>
          <w:highlight w:val="lightGray"/>
        </w:rPr>
        <w:t>Administrator</w:t>
      </w:r>
      <w:r w:rsidRPr="00066AC0">
        <w:t>.</w:t>
      </w:r>
    </w:p>
    <w:p w14:paraId="0FDBC39B" w14:textId="1A44F2C0" w:rsidR="009E69A4" w:rsidRDefault="009E69A4" w:rsidP="00ED3CAB"/>
    <w:p w14:paraId="27F17169" w14:textId="78CA043F" w:rsidR="0083419D" w:rsidRPr="00F539C8" w:rsidRDefault="009E69A4" w:rsidP="005521DD">
      <w:pPr>
        <w:pStyle w:val="ListParagraph"/>
        <w:numPr>
          <w:ilvl w:val="0"/>
          <w:numId w:val="31"/>
        </w:numPr>
        <w:ind w:left="1440"/>
      </w:pPr>
      <w:r w:rsidRPr="00C77953">
        <w:rPr>
          <w:b/>
          <w:bCs/>
        </w:rPr>
        <w:t>Sexual Assault</w:t>
      </w:r>
      <w:r w:rsidR="00577653" w:rsidRPr="00F539C8">
        <w:rPr>
          <w:b/>
          <w:bCs/>
        </w:rPr>
        <w:t>:</w:t>
      </w:r>
      <w:r w:rsidR="00141B10" w:rsidRPr="00C77953">
        <w:rPr>
          <w:rStyle w:val="FootnoteReference"/>
        </w:rPr>
        <w:footnoteReference w:id="7"/>
      </w:r>
    </w:p>
    <w:p w14:paraId="2987AA06" w14:textId="77777777" w:rsidR="0083419D" w:rsidRPr="00F539C8" w:rsidRDefault="0083419D" w:rsidP="0083419D">
      <w:pPr>
        <w:pStyle w:val="ListParagraph"/>
        <w:ind w:left="1440"/>
      </w:pPr>
    </w:p>
    <w:p w14:paraId="2D6BBF65" w14:textId="27519FD5" w:rsidR="002A4AD8" w:rsidRPr="00C77953" w:rsidRDefault="002A4AD8" w:rsidP="00F539C8">
      <w:pPr>
        <w:ind w:left="1440"/>
      </w:pPr>
      <w:r w:rsidRPr="00C77953">
        <w:t>Any sexual act</w:t>
      </w:r>
      <w:r w:rsidR="006B0392">
        <w:t>,</w:t>
      </w:r>
      <w:r w:rsidRPr="00C77953">
        <w:t xml:space="preserve"> including Rape, Sodomy, Sexual Assault </w:t>
      </w:r>
      <w:r w:rsidR="00354B25">
        <w:t>w</w:t>
      </w:r>
      <w:r w:rsidRPr="00C77953">
        <w:t xml:space="preserve">ith </w:t>
      </w:r>
      <w:r w:rsidR="00354B25">
        <w:t>a</w:t>
      </w:r>
      <w:r w:rsidRPr="00C77953">
        <w:t xml:space="preserve">n Object, or Fondling directed against another person, without the consent of the victim, including instances where the victim is incapable of giving consent; </w:t>
      </w:r>
      <w:proofErr w:type="gramStart"/>
      <w:r w:rsidRPr="00C77953">
        <w:t>also</w:t>
      </w:r>
      <w:proofErr w:type="gramEnd"/>
      <w:r w:rsidRPr="00C77953">
        <w:t xml:space="preserve"> unlawful sexual intercourse</w:t>
      </w:r>
      <w:r w:rsidR="008E2D9B">
        <w:t>.</w:t>
      </w:r>
      <w:r w:rsidR="00354B25">
        <w:rPr>
          <w:rStyle w:val="FootnoteReference"/>
        </w:rPr>
        <w:footnoteReference w:id="8"/>
      </w:r>
      <w:r w:rsidRPr="00C77953">
        <w:t xml:space="preserve"> </w:t>
      </w:r>
    </w:p>
    <w:p w14:paraId="4491EE32" w14:textId="77777777" w:rsidR="002A4AD8" w:rsidRPr="00C77953" w:rsidRDefault="002A4AD8" w:rsidP="00F539C8">
      <w:pPr>
        <w:pStyle w:val="ListParagraph"/>
        <w:ind w:left="1440"/>
      </w:pPr>
    </w:p>
    <w:p w14:paraId="0D680484" w14:textId="7911DBDF" w:rsidR="002A4AD8" w:rsidRPr="00F539C8" w:rsidRDefault="009E69A4" w:rsidP="005521DD">
      <w:pPr>
        <w:pStyle w:val="ListParagraph"/>
        <w:numPr>
          <w:ilvl w:val="0"/>
          <w:numId w:val="8"/>
        </w:numPr>
      </w:pPr>
      <w:r w:rsidRPr="00C77953">
        <w:rPr>
          <w:b/>
          <w:bCs/>
        </w:rPr>
        <w:t>Rape:</w:t>
      </w:r>
    </w:p>
    <w:p w14:paraId="467178AB" w14:textId="0A49BF48" w:rsidR="002A4AD8" w:rsidRPr="00C77953" w:rsidRDefault="0032141D" w:rsidP="005521DD">
      <w:pPr>
        <w:pStyle w:val="ListParagraph"/>
        <w:numPr>
          <w:ilvl w:val="1"/>
          <w:numId w:val="8"/>
        </w:numPr>
        <w:ind w:left="2790"/>
      </w:pPr>
      <w:r>
        <w:t>Penetration</w:t>
      </w:r>
      <w:r w:rsidR="002A4AD8" w:rsidRPr="00C77953">
        <w:t xml:space="preserve">, </w:t>
      </w:r>
    </w:p>
    <w:p w14:paraId="131D7FA1" w14:textId="0A8C1C4D" w:rsidR="002A4AD8" w:rsidRPr="00C77953" w:rsidRDefault="002A4AD8" w:rsidP="005521DD">
      <w:pPr>
        <w:pStyle w:val="ListParagraph"/>
        <w:numPr>
          <w:ilvl w:val="1"/>
          <w:numId w:val="8"/>
        </w:numPr>
        <w:ind w:left="2790"/>
      </w:pPr>
      <w:r w:rsidRPr="00C77953">
        <w:t xml:space="preserve">without the consent of the </w:t>
      </w:r>
      <w:r w:rsidR="002122AD" w:rsidRPr="00C77953">
        <w:t>Complainant</w:t>
      </w:r>
      <w:r w:rsidRPr="00C77953">
        <w:t>,</w:t>
      </w:r>
    </w:p>
    <w:p w14:paraId="15A5353C" w14:textId="2935A0D8" w:rsidR="002A4AD8" w:rsidRPr="00C77953" w:rsidRDefault="002A4AD8" w:rsidP="005521DD">
      <w:pPr>
        <w:pStyle w:val="ListParagraph"/>
        <w:numPr>
          <w:ilvl w:val="1"/>
          <w:numId w:val="8"/>
        </w:numPr>
        <w:ind w:left="2790"/>
      </w:pPr>
      <w:r w:rsidRPr="00C77953">
        <w:t xml:space="preserve">including instances where the </w:t>
      </w:r>
      <w:r w:rsidR="002122AD" w:rsidRPr="00C77953">
        <w:t>Complainant</w:t>
      </w:r>
      <w:r w:rsidRPr="00C77953">
        <w:t xml:space="preserve"> is incapable of giving consent</w:t>
      </w:r>
    </w:p>
    <w:p w14:paraId="3D881737" w14:textId="510D0288" w:rsidR="004C4D5E" w:rsidRPr="00C77953" w:rsidRDefault="002A4AD8" w:rsidP="005521DD">
      <w:pPr>
        <w:pStyle w:val="ListParagraph"/>
        <w:numPr>
          <w:ilvl w:val="1"/>
          <w:numId w:val="37"/>
        </w:numPr>
      </w:pPr>
      <w:r w:rsidRPr="00C77953">
        <w:t xml:space="preserve">because of </w:t>
      </w:r>
      <w:r w:rsidR="002122AD" w:rsidRPr="00C77953">
        <w:t>their</w:t>
      </w:r>
      <w:r w:rsidRPr="00C77953">
        <w:t xml:space="preserve"> age or </w:t>
      </w:r>
    </w:p>
    <w:p w14:paraId="3EFAA3FF" w14:textId="5C102250" w:rsidR="002A4AD8" w:rsidRPr="00C77953" w:rsidRDefault="002A4AD8" w:rsidP="005521DD">
      <w:pPr>
        <w:pStyle w:val="ListParagraph"/>
        <w:numPr>
          <w:ilvl w:val="1"/>
          <w:numId w:val="37"/>
        </w:numPr>
      </w:pPr>
      <w:r w:rsidRPr="00C77953">
        <w:lastRenderedPageBreak/>
        <w:t xml:space="preserve">because of </w:t>
      </w:r>
      <w:r w:rsidR="002122AD" w:rsidRPr="00C77953">
        <w:t xml:space="preserve">their </w:t>
      </w:r>
      <w:r w:rsidRPr="00C77953">
        <w:t xml:space="preserve">temporary or permanent mental or physical incapacity </w:t>
      </w:r>
    </w:p>
    <w:p w14:paraId="5E91772C" w14:textId="77777777" w:rsidR="009E69A4" w:rsidRPr="00ED3CAB" w:rsidRDefault="009E69A4" w:rsidP="009E69A4">
      <w:pPr>
        <w:rPr>
          <w:b/>
          <w:bCs/>
        </w:rPr>
      </w:pPr>
    </w:p>
    <w:p w14:paraId="09C05F53" w14:textId="37352E6C" w:rsidR="004C4D5E" w:rsidRPr="00ED3CAB" w:rsidRDefault="004C4D5E" w:rsidP="005521DD">
      <w:pPr>
        <w:pStyle w:val="ListParagraph"/>
        <w:numPr>
          <w:ilvl w:val="0"/>
          <w:numId w:val="37"/>
        </w:numPr>
        <w:rPr>
          <w:b/>
          <w:bCs/>
        </w:rPr>
      </w:pPr>
      <w:r w:rsidRPr="00ED3CAB">
        <w:rPr>
          <w:b/>
          <w:bCs/>
        </w:rPr>
        <w:t>Sodomy</w:t>
      </w:r>
    </w:p>
    <w:p w14:paraId="6D8C4AB1" w14:textId="6F7CD484" w:rsidR="004C4D5E" w:rsidRPr="00C77953" w:rsidRDefault="004C4D5E" w:rsidP="005521DD">
      <w:pPr>
        <w:pStyle w:val="ListParagraph"/>
        <w:numPr>
          <w:ilvl w:val="0"/>
          <w:numId w:val="38"/>
        </w:numPr>
        <w:ind w:left="2790"/>
      </w:pPr>
      <w:r w:rsidRPr="00C77953">
        <w:t xml:space="preserve">Oral or anal </w:t>
      </w:r>
      <w:r w:rsidR="00AC2E2E">
        <w:t>penetration</w:t>
      </w:r>
      <w:r w:rsidRPr="00C77953">
        <w:t xml:space="preserve"> </w:t>
      </w:r>
    </w:p>
    <w:p w14:paraId="3A1A68A7" w14:textId="3D00EA3A" w:rsidR="004C4D5E" w:rsidRPr="00C77953" w:rsidRDefault="0032141D" w:rsidP="005521DD">
      <w:pPr>
        <w:pStyle w:val="ListParagraph"/>
        <w:numPr>
          <w:ilvl w:val="0"/>
          <w:numId w:val="38"/>
        </w:numPr>
        <w:ind w:left="2790"/>
      </w:pPr>
      <w:r>
        <w:t>Of the Complainant by the Respondent</w:t>
      </w:r>
    </w:p>
    <w:p w14:paraId="222DAE5B" w14:textId="4E44F738" w:rsidR="004C4D5E" w:rsidRPr="00C77953" w:rsidRDefault="004C4D5E" w:rsidP="005521DD">
      <w:pPr>
        <w:pStyle w:val="ListParagraph"/>
        <w:numPr>
          <w:ilvl w:val="0"/>
          <w:numId w:val="38"/>
        </w:numPr>
        <w:ind w:left="2790"/>
      </w:pPr>
      <w:r w:rsidRPr="00C77953">
        <w:t xml:space="preserve">without the consent of the </w:t>
      </w:r>
      <w:r w:rsidR="002122AD" w:rsidRPr="00C77953">
        <w:t>Complainant</w:t>
      </w:r>
      <w:r w:rsidRPr="00C77953">
        <w:t xml:space="preserve">, </w:t>
      </w:r>
    </w:p>
    <w:p w14:paraId="4D868ACF" w14:textId="7C0289E4" w:rsidR="004C4D5E" w:rsidRPr="00C77953" w:rsidRDefault="004C4D5E" w:rsidP="005521DD">
      <w:pPr>
        <w:pStyle w:val="ListParagraph"/>
        <w:numPr>
          <w:ilvl w:val="0"/>
          <w:numId w:val="38"/>
        </w:numPr>
        <w:ind w:left="2790"/>
      </w:pPr>
      <w:r w:rsidRPr="00C77953">
        <w:t xml:space="preserve">including instances where the </w:t>
      </w:r>
      <w:r w:rsidR="002122AD" w:rsidRPr="00C77953">
        <w:t xml:space="preserve">Complainant </w:t>
      </w:r>
      <w:r w:rsidRPr="00C77953">
        <w:t xml:space="preserve">is incapable of giving consent </w:t>
      </w:r>
    </w:p>
    <w:p w14:paraId="3D88186B" w14:textId="54C76631" w:rsidR="004C4D5E" w:rsidRPr="00C77953" w:rsidRDefault="004C4D5E" w:rsidP="005521DD">
      <w:pPr>
        <w:pStyle w:val="ListParagraph"/>
        <w:numPr>
          <w:ilvl w:val="0"/>
          <w:numId w:val="40"/>
        </w:numPr>
        <w:ind w:left="3600"/>
      </w:pPr>
      <w:r w:rsidRPr="00C77953">
        <w:t xml:space="preserve">because of </w:t>
      </w:r>
      <w:r w:rsidR="002122AD" w:rsidRPr="00C77953">
        <w:t>their</w:t>
      </w:r>
      <w:r w:rsidRPr="00C77953">
        <w:t xml:space="preserve"> age or </w:t>
      </w:r>
    </w:p>
    <w:p w14:paraId="690E8835" w14:textId="74B196BF" w:rsidR="004C4D5E" w:rsidRPr="00F539C8" w:rsidRDefault="004C4D5E" w:rsidP="005521DD">
      <w:pPr>
        <w:pStyle w:val="ListParagraph"/>
        <w:numPr>
          <w:ilvl w:val="0"/>
          <w:numId w:val="40"/>
        </w:numPr>
        <w:ind w:left="3600"/>
      </w:pPr>
      <w:r w:rsidRPr="00C77953">
        <w:t xml:space="preserve">because of </w:t>
      </w:r>
      <w:r w:rsidR="002122AD" w:rsidRPr="00C77953">
        <w:t>their</w:t>
      </w:r>
      <w:r w:rsidRPr="00C77953">
        <w:t xml:space="preserve"> temporary or permanent mental or physical incapacity </w:t>
      </w:r>
    </w:p>
    <w:p w14:paraId="7FF7F834" w14:textId="77777777" w:rsidR="004C4D5E" w:rsidRPr="00ED3CAB" w:rsidRDefault="004C4D5E" w:rsidP="00F539C8">
      <w:pPr>
        <w:rPr>
          <w:b/>
          <w:bCs/>
        </w:rPr>
      </w:pPr>
    </w:p>
    <w:p w14:paraId="21834571" w14:textId="484E2BC1" w:rsidR="002122AD" w:rsidRPr="00ED3CAB" w:rsidRDefault="002122AD" w:rsidP="005521DD">
      <w:pPr>
        <w:pStyle w:val="ListParagraph"/>
        <w:numPr>
          <w:ilvl w:val="0"/>
          <w:numId w:val="37"/>
        </w:numPr>
        <w:rPr>
          <w:b/>
          <w:bCs/>
        </w:rPr>
      </w:pPr>
      <w:r w:rsidRPr="00ED3CAB">
        <w:rPr>
          <w:b/>
          <w:bCs/>
        </w:rPr>
        <w:t>Sexual Assault with an Object</w:t>
      </w:r>
    </w:p>
    <w:p w14:paraId="440BD731" w14:textId="405CE971" w:rsidR="002122AD" w:rsidRPr="00C77953" w:rsidRDefault="0032141D" w:rsidP="005521DD">
      <w:pPr>
        <w:pStyle w:val="ListParagraph"/>
        <w:numPr>
          <w:ilvl w:val="0"/>
          <w:numId w:val="38"/>
        </w:numPr>
        <w:ind w:left="2790"/>
      </w:pPr>
      <w:r>
        <w:t>Respondent’s use of</w:t>
      </w:r>
      <w:r w:rsidR="002122AD" w:rsidRPr="00C77953">
        <w:t xml:space="preserve"> an object or instrument</w:t>
      </w:r>
    </w:p>
    <w:p w14:paraId="4D154843" w14:textId="7B0F0275" w:rsidR="002122AD" w:rsidRPr="00C77953" w:rsidRDefault="0032141D" w:rsidP="005521DD">
      <w:pPr>
        <w:pStyle w:val="ListParagraph"/>
        <w:numPr>
          <w:ilvl w:val="0"/>
          <w:numId w:val="38"/>
        </w:numPr>
        <w:ind w:left="2790"/>
      </w:pPr>
      <w:r>
        <w:t>t</w:t>
      </w:r>
      <w:r w:rsidR="002122AD" w:rsidRPr="00C77953">
        <w:t>o unlawfully penetrate, however slightly, the genital or anal opening</w:t>
      </w:r>
    </w:p>
    <w:p w14:paraId="4B1BEC29" w14:textId="4E2835ED" w:rsidR="002122AD" w:rsidRPr="00C77953" w:rsidRDefault="0032141D" w:rsidP="005521DD">
      <w:pPr>
        <w:pStyle w:val="ListParagraph"/>
        <w:numPr>
          <w:ilvl w:val="0"/>
          <w:numId w:val="38"/>
        </w:numPr>
        <w:ind w:left="2790"/>
      </w:pPr>
      <w:r>
        <w:t>o</w:t>
      </w:r>
      <w:r w:rsidR="002122AD" w:rsidRPr="00C77953">
        <w:t xml:space="preserve">f the body of </w:t>
      </w:r>
      <w:r>
        <w:t>the Complainant</w:t>
      </w:r>
      <w:r w:rsidR="002122AD" w:rsidRPr="00C77953">
        <w:t>,</w:t>
      </w:r>
    </w:p>
    <w:p w14:paraId="4EA73EA7" w14:textId="0B745708" w:rsidR="002122AD" w:rsidRPr="00C77953" w:rsidRDefault="0032141D" w:rsidP="005521DD">
      <w:pPr>
        <w:pStyle w:val="ListParagraph"/>
        <w:numPr>
          <w:ilvl w:val="0"/>
          <w:numId w:val="38"/>
        </w:numPr>
        <w:ind w:left="2790"/>
      </w:pPr>
      <w:r>
        <w:t>w</w:t>
      </w:r>
      <w:r w:rsidR="002122AD" w:rsidRPr="00C77953">
        <w:t>it</w:t>
      </w:r>
      <w:r>
        <w:t>h</w:t>
      </w:r>
      <w:r w:rsidR="002122AD" w:rsidRPr="00C77953">
        <w:t>out the consent of the Complainant,</w:t>
      </w:r>
    </w:p>
    <w:p w14:paraId="5772C0F0" w14:textId="19F4286C" w:rsidR="002122AD" w:rsidRPr="00C77953" w:rsidRDefault="0032141D" w:rsidP="005521DD">
      <w:pPr>
        <w:pStyle w:val="ListParagraph"/>
        <w:numPr>
          <w:ilvl w:val="0"/>
          <w:numId w:val="38"/>
        </w:numPr>
        <w:ind w:left="2790"/>
      </w:pPr>
      <w:r>
        <w:t>i</w:t>
      </w:r>
      <w:r w:rsidR="002122AD" w:rsidRPr="00C77953">
        <w:t xml:space="preserve">ncluding instances where the </w:t>
      </w:r>
      <w:r>
        <w:t>Complainant</w:t>
      </w:r>
      <w:r w:rsidR="002122AD" w:rsidRPr="00C77953">
        <w:t xml:space="preserve"> is incapable of giving consent</w:t>
      </w:r>
    </w:p>
    <w:p w14:paraId="128DA48F" w14:textId="77777777" w:rsidR="002122AD" w:rsidRPr="00C77953" w:rsidRDefault="002122AD" w:rsidP="005521DD">
      <w:pPr>
        <w:pStyle w:val="ListParagraph"/>
        <w:numPr>
          <w:ilvl w:val="0"/>
          <w:numId w:val="40"/>
        </w:numPr>
        <w:ind w:left="3600"/>
      </w:pPr>
      <w:r w:rsidRPr="00C77953">
        <w:t xml:space="preserve">because of their age or </w:t>
      </w:r>
    </w:p>
    <w:p w14:paraId="5EEEB473" w14:textId="77777777" w:rsidR="002122AD" w:rsidRPr="00C77953" w:rsidRDefault="002122AD" w:rsidP="005521DD">
      <w:pPr>
        <w:pStyle w:val="ListParagraph"/>
        <w:numPr>
          <w:ilvl w:val="0"/>
          <w:numId w:val="40"/>
        </w:numPr>
        <w:ind w:left="3600"/>
      </w:pPr>
      <w:r w:rsidRPr="00C77953">
        <w:t xml:space="preserve">because of their temporary or permanent mental or physical incapacity </w:t>
      </w:r>
    </w:p>
    <w:p w14:paraId="5A42CDA4" w14:textId="77777777" w:rsidR="002122AD" w:rsidRPr="00F539C8" w:rsidRDefault="002122AD" w:rsidP="00F539C8">
      <w:pPr>
        <w:pStyle w:val="ListParagraph"/>
        <w:ind w:left="2160"/>
      </w:pPr>
    </w:p>
    <w:p w14:paraId="0D95CAF3" w14:textId="7FD2EFB4" w:rsidR="009E69A4" w:rsidRPr="00C77953" w:rsidRDefault="009E69A4" w:rsidP="005521DD">
      <w:pPr>
        <w:pStyle w:val="ListParagraph"/>
        <w:numPr>
          <w:ilvl w:val="0"/>
          <w:numId w:val="37"/>
        </w:numPr>
      </w:pPr>
      <w:r w:rsidRPr="00C77953">
        <w:rPr>
          <w:b/>
          <w:bCs/>
        </w:rPr>
        <w:t xml:space="preserve">Fondling: </w:t>
      </w:r>
    </w:p>
    <w:p w14:paraId="46977856" w14:textId="4B331EB9" w:rsidR="009E69A4" w:rsidRDefault="009E69A4" w:rsidP="005521DD">
      <w:pPr>
        <w:pStyle w:val="ListParagraph"/>
        <w:numPr>
          <w:ilvl w:val="2"/>
          <w:numId w:val="37"/>
        </w:numPr>
        <w:ind w:left="2790"/>
      </w:pPr>
      <w:r w:rsidRPr="00C77953">
        <w:t xml:space="preserve">The touching of the private body parts </w:t>
      </w:r>
      <w:r w:rsidR="0032141D">
        <w:t xml:space="preserve">(breasts, buttocks, groin) </w:t>
      </w:r>
      <w:r w:rsidRPr="00C77953">
        <w:t xml:space="preserve">of the </w:t>
      </w:r>
      <w:r w:rsidR="002122AD" w:rsidRPr="00F539C8">
        <w:t>Complainant</w:t>
      </w:r>
      <w:r w:rsidR="0032141D">
        <w:t xml:space="preserve"> by the Respondent</w:t>
      </w:r>
    </w:p>
    <w:p w14:paraId="7C14CF33" w14:textId="25AB4A16" w:rsidR="0032141D" w:rsidRPr="00C77953" w:rsidRDefault="0032141D" w:rsidP="005521DD">
      <w:pPr>
        <w:pStyle w:val="ListParagraph"/>
        <w:numPr>
          <w:ilvl w:val="2"/>
          <w:numId w:val="37"/>
        </w:numPr>
        <w:ind w:left="2790"/>
      </w:pPr>
      <w:r>
        <w:t>or causing the Complainant to touch the Respondent’s private body parts</w:t>
      </w:r>
    </w:p>
    <w:p w14:paraId="7F90C868" w14:textId="4E289AD5" w:rsidR="0032141D" w:rsidRDefault="0032141D" w:rsidP="005521DD">
      <w:pPr>
        <w:pStyle w:val="ListParagraph"/>
        <w:numPr>
          <w:ilvl w:val="2"/>
          <w:numId w:val="37"/>
        </w:numPr>
        <w:ind w:left="2790"/>
      </w:pPr>
      <w:r>
        <w:t>intentionally for a sexual purpose</w:t>
      </w:r>
    </w:p>
    <w:p w14:paraId="1C4CCC14" w14:textId="6973F5C5" w:rsidR="002122AD" w:rsidRPr="00F539C8" w:rsidRDefault="009E69A4" w:rsidP="005521DD">
      <w:pPr>
        <w:pStyle w:val="ListParagraph"/>
        <w:numPr>
          <w:ilvl w:val="2"/>
          <w:numId w:val="37"/>
        </w:numPr>
        <w:ind w:left="2790"/>
      </w:pPr>
      <w:r w:rsidRPr="00C77953">
        <w:t>without the consent of the Complainant,</w:t>
      </w:r>
      <w:r w:rsidR="0023151C">
        <w:t xml:space="preserve"> </w:t>
      </w:r>
      <w:r w:rsidRPr="00C77953">
        <w:t xml:space="preserve">including instances where the Complainant is incapable of giving consent </w:t>
      </w:r>
    </w:p>
    <w:p w14:paraId="345DFFFB" w14:textId="77777777" w:rsidR="002122AD" w:rsidRPr="00F539C8" w:rsidRDefault="009E69A4" w:rsidP="005521DD">
      <w:pPr>
        <w:pStyle w:val="ListParagraph"/>
        <w:numPr>
          <w:ilvl w:val="3"/>
          <w:numId w:val="39"/>
        </w:numPr>
        <w:ind w:left="3420"/>
      </w:pPr>
      <w:r w:rsidRPr="00C77953">
        <w:t xml:space="preserve">because of their age or </w:t>
      </w:r>
    </w:p>
    <w:p w14:paraId="24817E4C" w14:textId="693025B7" w:rsidR="009E69A4" w:rsidRPr="00F539C8" w:rsidRDefault="009E69A4" w:rsidP="005521DD">
      <w:pPr>
        <w:pStyle w:val="ListParagraph"/>
        <w:numPr>
          <w:ilvl w:val="3"/>
          <w:numId w:val="39"/>
        </w:numPr>
        <w:ind w:left="3420"/>
      </w:pPr>
      <w:r w:rsidRPr="00C77953">
        <w:t xml:space="preserve">because of </w:t>
      </w:r>
      <w:r w:rsidR="002122AD" w:rsidRPr="00F539C8">
        <w:t xml:space="preserve">their </w:t>
      </w:r>
      <w:r w:rsidRPr="00C77953">
        <w:t>temporary or permanent mental incapacity</w:t>
      </w:r>
      <w:r w:rsidR="002122AD" w:rsidRPr="00F539C8">
        <w:t xml:space="preserve"> or physical incapacity</w:t>
      </w:r>
      <w:r w:rsidRPr="00F539C8">
        <w:t>.</w:t>
      </w:r>
      <w:r w:rsidRPr="00F539C8">
        <w:br/>
      </w:r>
    </w:p>
    <w:p w14:paraId="16D6F8BD" w14:textId="77777777" w:rsidR="009E69A4" w:rsidRPr="00F539C8" w:rsidRDefault="009E69A4" w:rsidP="005521DD">
      <w:pPr>
        <w:pStyle w:val="ListParagraph"/>
        <w:numPr>
          <w:ilvl w:val="0"/>
          <w:numId w:val="37"/>
        </w:numPr>
      </w:pPr>
      <w:r w:rsidRPr="00F539C8">
        <w:rPr>
          <w:b/>
          <w:bCs/>
        </w:rPr>
        <w:t>Incest</w:t>
      </w:r>
      <w:r w:rsidRPr="00F539C8">
        <w:t>:</w:t>
      </w:r>
    </w:p>
    <w:p w14:paraId="3AAA02CD" w14:textId="59C3AC71" w:rsidR="009E69A4" w:rsidRPr="00F539C8" w:rsidRDefault="0032141D" w:rsidP="005521DD">
      <w:pPr>
        <w:pStyle w:val="ListParagraph"/>
        <w:numPr>
          <w:ilvl w:val="0"/>
          <w:numId w:val="9"/>
        </w:numPr>
        <w:ind w:left="2880"/>
      </w:pPr>
      <w:r>
        <w:t>Nonforcible s</w:t>
      </w:r>
      <w:r w:rsidR="009E69A4" w:rsidRPr="00F539C8">
        <w:t>exual intercourse</w:t>
      </w:r>
      <w:r>
        <w:t xml:space="preserve"> </w:t>
      </w:r>
      <w:r w:rsidR="009E69A4" w:rsidRPr="00F539C8">
        <w:t xml:space="preserve">between </w:t>
      </w:r>
      <w:proofErr w:type="gramStart"/>
      <w:r w:rsidR="009E69A4" w:rsidRPr="00F539C8">
        <w:t>persons</w:t>
      </w:r>
      <w:proofErr w:type="gramEnd"/>
      <w:r w:rsidR="009E69A4" w:rsidRPr="00F539C8">
        <w:t xml:space="preserve"> who are related to each other</w:t>
      </w:r>
    </w:p>
    <w:p w14:paraId="02FD3ADA" w14:textId="688D2544" w:rsidR="009E69A4" w:rsidRPr="00F539C8" w:rsidRDefault="0032141D" w:rsidP="005521DD">
      <w:pPr>
        <w:pStyle w:val="ListParagraph"/>
        <w:numPr>
          <w:ilvl w:val="0"/>
          <w:numId w:val="9"/>
        </w:numPr>
        <w:ind w:left="2880"/>
        <w:rPr>
          <w:b/>
          <w:bCs/>
        </w:rPr>
      </w:pPr>
      <w:r>
        <w:t>w</w:t>
      </w:r>
      <w:r w:rsidR="009E69A4" w:rsidRPr="00F539C8">
        <w:t xml:space="preserve">ithin the degrees wherein marriage is prohibited by </w:t>
      </w:r>
      <w:r w:rsidR="00141B10" w:rsidRPr="003E7A29">
        <w:rPr>
          <w:highlight w:val="lightGray"/>
        </w:rPr>
        <w:t>&lt;&lt;</w:t>
      </w:r>
      <w:r w:rsidR="005D191F">
        <w:rPr>
          <w:highlight w:val="lightGray"/>
        </w:rPr>
        <w:t>s</w:t>
      </w:r>
      <w:r w:rsidR="00141B10" w:rsidRPr="003E7A29">
        <w:rPr>
          <w:highlight w:val="lightGray"/>
        </w:rPr>
        <w:t>tate&gt;&gt;</w:t>
      </w:r>
      <w:r w:rsidR="009E69A4" w:rsidRPr="003E7A29">
        <w:rPr>
          <w:highlight w:val="lightGray"/>
        </w:rPr>
        <w:t xml:space="preserve"> </w:t>
      </w:r>
      <w:r w:rsidR="009E69A4" w:rsidRPr="00F539C8">
        <w:t xml:space="preserve">law. </w:t>
      </w:r>
      <w:r w:rsidR="00141B10" w:rsidRPr="00F539C8">
        <w:br/>
      </w:r>
    </w:p>
    <w:p w14:paraId="47C77863" w14:textId="77777777" w:rsidR="009E69A4" w:rsidRPr="00F539C8" w:rsidRDefault="009E69A4" w:rsidP="005521DD">
      <w:pPr>
        <w:pStyle w:val="ListParagraph"/>
        <w:numPr>
          <w:ilvl w:val="0"/>
          <w:numId w:val="37"/>
        </w:numPr>
      </w:pPr>
      <w:r w:rsidRPr="00F539C8">
        <w:rPr>
          <w:b/>
          <w:bCs/>
        </w:rPr>
        <w:t>Statutory Rape</w:t>
      </w:r>
      <w:r w:rsidRPr="00F539C8">
        <w:t>:</w:t>
      </w:r>
    </w:p>
    <w:p w14:paraId="4977EA94" w14:textId="2F56C955" w:rsidR="0032141D" w:rsidRDefault="0032141D" w:rsidP="005521DD">
      <w:pPr>
        <w:pStyle w:val="ListParagraph"/>
        <w:numPr>
          <w:ilvl w:val="0"/>
          <w:numId w:val="9"/>
        </w:numPr>
        <w:ind w:left="2880"/>
      </w:pPr>
      <w:r>
        <w:lastRenderedPageBreak/>
        <w:t>Nonforcible s</w:t>
      </w:r>
      <w:r w:rsidRPr="00744C96">
        <w:t>exual intercourse</w:t>
      </w:r>
      <w:r>
        <w:t xml:space="preserve"> </w:t>
      </w:r>
      <w:r w:rsidR="009E69A4" w:rsidRPr="00F539C8">
        <w:t xml:space="preserve">with a person </w:t>
      </w:r>
    </w:p>
    <w:p w14:paraId="3A43B1AA" w14:textId="09DB8BF4" w:rsidR="009E69A4" w:rsidRDefault="009E69A4" w:rsidP="005521DD">
      <w:pPr>
        <w:pStyle w:val="ListParagraph"/>
        <w:numPr>
          <w:ilvl w:val="0"/>
          <w:numId w:val="9"/>
        </w:numPr>
        <w:ind w:left="2880"/>
      </w:pPr>
      <w:r w:rsidRPr="00F539C8">
        <w:t>who is under</w:t>
      </w:r>
      <w:r w:rsidR="00C77953">
        <w:t xml:space="preserve"> the statutory age of consent of </w:t>
      </w:r>
      <w:r w:rsidR="0032141D">
        <w:t xml:space="preserve">the </w:t>
      </w:r>
      <w:r w:rsidR="0032141D" w:rsidRPr="003E7A29">
        <w:rPr>
          <w:highlight w:val="lightGray"/>
          <w:shd w:val="clear" w:color="auto" w:fill="808080" w:themeFill="background1" w:themeFillShade="80"/>
        </w:rPr>
        <w:t>&lt;&lt;</w:t>
      </w:r>
      <w:r w:rsidR="005D191F">
        <w:rPr>
          <w:highlight w:val="lightGray"/>
          <w:shd w:val="clear" w:color="auto" w:fill="808080" w:themeFill="background1" w:themeFillShade="80"/>
        </w:rPr>
        <w:t>s</w:t>
      </w:r>
      <w:r w:rsidR="00FE6ADD" w:rsidRPr="003E7A29">
        <w:rPr>
          <w:highlight w:val="lightGray"/>
          <w:shd w:val="clear" w:color="auto" w:fill="808080" w:themeFill="background1" w:themeFillShade="80"/>
        </w:rPr>
        <w:t>tate</w:t>
      </w:r>
      <w:r w:rsidR="0032141D" w:rsidRPr="003E7A29">
        <w:rPr>
          <w:highlight w:val="lightGray"/>
          <w:shd w:val="clear" w:color="auto" w:fill="808080" w:themeFill="background1" w:themeFillShade="80"/>
        </w:rPr>
        <w:t>&gt;&gt;.</w:t>
      </w:r>
    </w:p>
    <w:p w14:paraId="52038C24" w14:textId="77777777" w:rsidR="009E69A4" w:rsidRDefault="009E69A4" w:rsidP="009E69A4">
      <w:pPr>
        <w:ind w:left="720"/>
      </w:pPr>
    </w:p>
    <w:p w14:paraId="6D24228F" w14:textId="0284EC8D" w:rsidR="009E69A4" w:rsidRDefault="009E69A4" w:rsidP="005521DD">
      <w:pPr>
        <w:pStyle w:val="ListParagraph"/>
        <w:numPr>
          <w:ilvl w:val="0"/>
          <w:numId w:val="31"/>
        </w:numPr>
        <w:ind w:left="1440"/>
      </w:pPr>
      <w:r w:rsidRPr="00F539C8">
        <w:rPr>
          <w:b/>
          <w:bCs/>
        </w:rPr>
        <w:t xml:space="preserve">Dating Violence: </w:t>
      </w:r>
    </w:p>
    <w:p w14:paraId="31024EE0" w14:textId="25AE51F3" w:rsidR="009E69A4" w:rsidRDefault="0032141D" w:rsidP="005521DD">
      <w:pPr>
        <w:pStyle w:val="ListParagraph"/>
        <w:numPr>
          <w:ilvl w:val="0"/>
          <w:numId w:val="55"/>
        </w:numPr>
      </w:pPr>
      <w:r>
        <w:t>V</w:t>
      </w:r>
      <w:r w:rsidR="009E69A4">
        <w:t>iolence</w:t>
      </w:r>
      <w:r w:rsidR="00FE6ADD">
        <w:rPr>
          <w:rStyle w:val="FootnoteReference"/>
        </w:rPr>
        <w:footnoteReference w:id="9"/>
      </w:r>
      <w:r w:rsidR="00807A6D">
        <w:t xml:space="preserve"> </w:t>
      </w:r>
      <w:r w:rsidR="009E69A4">
        <w:t xml:space="preserve">committed by a </w:t>
      </w:r>
      <w:r>
        <w:t>Respondent</w:t>
      </w:r>
      <w:r w:rsidR="009E69A4">
        <w:t>,</w:t>
      </w:r>
    </w:p>
    <w:p w14:paraId="0700673B" w14:textId="47A83173" w:rsidR="0083419D" w:rsidRDefault="009E69A4" w:rsidP="005521DD">
      <w:pPr>
        <w:pStyle w:val="ListParagraph"/>
        <w:numPr>
          <w:ilvl w:val="0"/>
          <w:numId w:val="55"/>
        </w:numPr>
      </w:pPr>
      <w:r>
        <w:t>who is in or has been in a social relationship of a romantic or intimate nature with the Complainant</w:t>
      </w:r>
      <w:r w:rsidR="0032141D">
        <w:t xml:space="preserve">; </w:t>
      </w:r>
      <w:r w:rsidR="0032141D" w:rsidRPr="00F539C8">
        <w:rPr>
          <w:b/>
          <w:bCs/>
        </w:rPr>
        <w:t xml:space="preserve">and </w:t>
      </w:r>
    </w:p>
    <w:p w14:paraId="658D3181" w14:textId="18AAAB72" w:rsidR="0032141D" w:rsidRDefault="0083419D" w:rsidP="005521DD">
      <w:pPr>
        <w:pStyle w:val="ListParagraph"/>
        <w:numPr>
          <w:ilvl w:val="0"/>
          <w:numId w:val="55"/>
        </w:numPr>
      </w:pPr>
      <w:r>
        <w:t>where t</w:t>
      </w:r>
      <w:r w:rsidR="009E69A4">
        <w:t xml:space="preserve">he existence of such a relationship shall be determined based on </w:t>
      </w:r>
      <w:r>
        <w:t>a consideration of the following factors</w:t>
      </w:r>
      <w:r w:rsidR="0061638E">
        <w:t>:</w:t>
      </w:r>
    </w:p>
    <w:p w14:paraId="4EB276DB" w14:textId="055CE631" w:rsidR="0032141D" w:rsidRDefault="0032141D" w:rsidP="005521DD">
      <w:pPr>
        <w:pStyle w:val="ListParagraph"/>
        <w:numPr>
          <w:ilvl w:val="2"/>
          <w:numId w:val="55"/>
        </w:numPr>
      </w:pPr>
      <w:r>
        <w:t>l</w:t>
      </w:r>
      <w:r w:rsidR="0083419D">
        <w:t>ength of the relationship</w:t>
      </w:r>
    </w:p>
    <w:p w14:paraId="6B567986" w14:textId="7214A019" w:rsidR="0083419D" w:rsidRDefault="0032141D" w:rsidP="005521DD">
      <w:pPr>
        <w:pStyle w:val="ListParagraph"/>
        <w:numPr>
          <w:ilvl w:val="2"/>
          <w:numId w:val="55"/>
        </w:numPr>
      </w:pPr>
      <w:r>
        <w:t>t</w:t>
      </w:r>
      <w:r w:rsidR="0083419D">
        <w:t>ype of relationship</w:t>
      </w:r>
    </w:p>
    <w:p w14:paraId="1B3E16A5" w14:textId="2C9D210B" w:rsidR="00807A6D" w:rsidRDefault="0083419D" w:rsidP="005521DD">
      <w:pPr>
        <w:pStyle w:val="ListParagraph"/>
        <w:numPr>
          <w:ilvl w:val="4"/>
          <w:numId w:val="55"/>
        </w:numPr>
      </w:pPr>
      <w:r>
        <w:t xml:space="preserve">frequency of the interaction between the </w:t>
      </w:r>
      <w:r w:rsidR="0028631C">
        <w:t>Parties</w:t>
      </w:r>
      <w:r>
        <w:t xml:space="preserve"> involved in the relationship</w:t>
      </w:r>
      <w:r w:rsidR="00807A6D">
        <w:t>.</w:t>
      </w:r>
    </w:p>
    <w:p w14:paraId="0E2C89C0" w14:textId="77777777" w:rsidR="009E69A4" w:rsidRDefault="009E69A4" w:rsidP="009E69A4">
      <w:pPr>
        <w:ind w:left="720"/>
      </w:pPr>
    </w:p>
    <w:p w14:paraId="5DAD39BB" w14:textId="0C81FBC2" w:rsidR="009E69A4" w:rsidRPr="0023151C" w:rsidRDefault="009E69A4" w:rsidP="005521DD">
      <w:pPr>
        <w:pStyle w:val="ListParagraph"/>
        <w:numPr>
          <w:ilvl w:val="0"/>
          <w:numId w:val="31"/>
        </w:numPr>
        <w:ind w:left="1440"/>
        <w:rPr>
          <w:b/>
          <w:bCs/>
        </w:rPr>
      </w:pPr>
      <w:r w:rsidRPr="0023151C">
        <w:rPr>
          <w:b/>
          <w:bCs/>
        </w:rPr>
        <w:t>Domestic Violence:</w:t>
      </w:r>
    </w:p>
    <w:p w14:paraId="598C9080" w14:textId="015C2482" w:rsidR="009E69A4" w:rsidRDefault="0032141D" w:rsidP="005521DD">
      <w:pPr>
        <w:pStyle w:val="ListParagraph"/>
        <w:numPr>
          <w:ilvl w:val="0"/>
          <w:numId w:val="56"/>
        </w:numPr>
      </w:pPr>
      <w:r w:rsidRPr="0023151C">
        <w:t>F</w:t>
      </w:r>
      <w:r w:rsidR="00141B10" w:rsidRPr="0023151C">
        <w:t>elony or misdemeanor</w:t>
      </w:r>
      <w:r w:rsidR="00141B10">
        <w:t xml:space="preserve"> crime</w:t>
      </w:r>
      <w:r w:rsidR="00897043">
        <w:t>s committed by a person who:</w:t>
      </w:r>
    </w:p>
    <w:p w14:paraId="21FADFAD" w14:textId="574FC211" w:rsidR="00897043" w:rsidRDefault="00807A6D" w:rsidP="005521DD">
      <w:pPr>
        <w:pStyle w:val="ListParagraph"/>
        <w:numPr>
          <w:ilvl w:val="1"/>
          <w:numId w:val="56"/>
        </w:numPr>
      </w:pPr>
      <w:r>
        <w:t xml:space="preserve">is a current or former spouse or intimate partner of the Complainant under the family or domestic violence laws of </w:t>
      </w:r>
      <w:r w:rsidR="005D191F" w:rsidRPr="005D191F">
        <w:rPr>
          <w:highlight w:val="lightGray"/>
        </w:rPr>
        <w:t>&lt;&lt;</w:t>
      </w:r>
      <w:r w:rsidR="005D191F">
        <w:rPr>
          <w:highlight w:val="lightGray"/>
          <w:shd w:val="clear" w:color="auto" w:fill="808080" w:themeFill="background1" w:themeFillShade="80"/>
        </w:rPr>
        <w:t>s</w:t>
      </w:r>
      <w:r w:rsidR="00FE6ADD" w:rsidRPr="00ED3CAB">
        <w:rPr>
          <w:highlight w:val="lightGray"/>
          <w:shd w:val="clear" w:color="auto" w:fill="808080" w:themeFill="background1" w:themeFillShade="80"/>
        </w:rPr>
        <w:t>tate</w:t>
      </w:r>
      <w:r w:rsidR="005D191F" w:rsidRPr="005D191F">
        <w:rPr>
          <w:highlight w:val="lightGray"/>
          <w:shd w:val="clear" w:color="auto" w:fill="808080" w:themeFill="background1" w:themeFillShade="80"/>
        </w:rPr>
        <w:t>&gt;&gt;</w:t>
      </w:r>
      <w:r w:rsidR="0007540F" w:rsidRPr="005D191F">
        <w:rPr>
          <w:highlight w:val="lightGray"/>
          <w:shd w:val="clear" w:color="auto" w:fill="808080" w:themeFill="background1" w:themeFillShade="80"/>
        </w:rPr>
        <w:t xml:space="preserve"> </w:t>
      </w:r>
      <w:r w:rsidRPr="005D191F">
        <w:t>or</w:t>
      </w:r>
      <w:r>
        <w:t xml:space="preserve"> a person similarly situated to a spouse of the </w:t>
      </w:r>
      <w:proofErr w:type="gramStart"/>
      <w:r>
        <w:t>Complainant;</w:t>
      </w:r>
      <w:proofErr w:type="gramEnd"/>
    </w:p>
    <w:p w14:paraId="555CAB96" w14:textId="2142F460" w:rsidR="00897043" w:rsidRDefault="00897043" w:rsidP="005521DD">
      <w:pPr>
        <w:pStyle w:val="ListParagraph"/>
        <w:numPr>
          <w:ilvl w:val="1"/>
          <w:numId w:val="56"/>
        </w:numPr>
      </w:pPr>
      <w:r>
        <w:t>is cohabitating with, or has cohabitated with</w:t>
      </w:r>
      <w:r w:rsidR="0052079F">
        <w:t>,</w:t>
      </w:r>
      <w:r>
        <w:t xml:space="preserve"> the Complainant as a spouse or intimate </w:t>
      </w:r>
      <w:proofErr w:type="gramStart"/>
      <w:r>
        <w:t>partner</w:t>
      </w:r>
      <w:r w:rsidR="0032141D">
        <w:t>;</w:t>
      </w:r>
      <w:proofErr w:type="gramEnd"/>
    </w:p>
    <w:p w14:paraId="5FAE9169" w14:textId="6CAE5C1F" w:rsidR="00807A6D" w:rsidRDefault="00807A6D" w:rsidP="005521DD">
      <w:pPr>
        <w:pStyle w:val="ListParagraph"/>
        <w:numPr>
          <w:ilvl w:val="1"/>
          <w:numId w:val="56"/>
        </w:numPr>
      </w:pPr>
      <w:r>
        <w:t xml:space="preserve">shares a child in common with the Complainant; </w:t>
      </w:r>
      <w:r w:rsidRPr="00F539C8">
        <w:rPr>
          <w:b/>
          <w:bCs/>
        </w:rPr>
        <w:t xml:space="preserve">or </w:t>
      </w:r>
    </w:p>
    <w:p w14:paraId="6709579E" w14:textId="29D4D9B9" w:rsidR="00807A6D" w:rsidRDefault="00807A6D" w:rsidP="005521DD">
      <w:pPr>
        <w:pStyle w:val="ListParagraph"/>
        <w:numPr>
          <w:ilvl w:val="1"/>
          <w:numId w:val="56"/>
        </w:numPr>
      </w:pPr>
      <w:r>
        <w:t>commits acts against a youth or adult Complainant who is protected from those acts under the family or domestic violence laws of</w:t>
      </w:r>
      <w:r w:rsidR="00FE6ADD">
        <w:t xml:space="preserve"> </w:t>
      </w:r>
      <w:r w:rsidR="005D191F" w:rsidRPr="005D191F">
        <w:rPr>
          <w:highlight w:val="lightGray"/>
        </w:rPr>
        <w:t>&lt;&lt;</w:t>
      </w:r>
      <w:r w:rsidR="005D191F" w:rsidRPr="005D191F">
        <w:rPr>
          <w:highlight w:val="lightGray"/>
          <w:shd w:val="clear" w:color="auto" w:fill="808080" w:themeFill="background1" w:themeFillShade="80"/>
        </w:rPr>
        <w:t>s</w:t>
      </w:r>
      <w:r w:rsidR="00FE6ADD" w:rsidRPr="00ED3CAB">
        <w:rPr>
          <w:highlight w:val="lightGray"/>
          <w:shd w:val="clear" w:color="auto" w:fill="808080" w:themeFill="background1" w:themeFillShade="80"/>
        </w:rPr>
        <w:t>tate</w:t>
      </w:r>
      <w:r w:rsidR="005D191F">
        <w:rPr>
          <w:highlight w:val="lightGray"/>
          <w:shd w:val="clear" w:color="auto" w:fill="808080" w:themeFill="background1" w:themeFillShade="80"/>
        </w:rPr>
        <w:t>&gt;&gt;</w:t>
      </w:r>
      <w:r w:rsidR="0032141D" w:rsidRPr="00ED3CAB">
        <w:rPr>
          <w:highlight w:val="lightGray"/>
          <w:shd w:val="clear" w:color="auto" w:fill="808080" w:themeFill="background1" w:themeFillShade="80"/>
        </w:rPr>
        <w:t>.</w:t>
      </w:r>
    </w:p>
    <w:p w14:paraId="140C1D69" w14:textId="77777777" w:rsidR="00807A6D" w:rsidRDefault="00807A6D" w:rsidP="00F539C8">
      <w:pPr>
        <w:pStyle w:val="ListParagraph"/>
        <w:ind w:left="3060"/>
      </w:pPr>
    </w:p>
    <w:p w14:paraId="3847FF05" w14:textId="6327585D" w:rsidR="009E69A4" w:rsidRPr="00BC55C3" w:rsidRDefault="009E69A4" w:rsidP="005521DD">
      <w:pPr>
        <w:pStyle w:val="ListParagraph"/>
        <w:numPr>
          <w:ilvl w:val="0"/>
          <w:numId w:val="31"/>
        </w:numPr>
        <w:ind w:left="1440"/>
        <w:rPr>
          <w:b/>
          <w:bCs/>
        </w:rPr>
      </w:pPr>
      <w:r w:rsidRPr="00BC55C3">
        <w:rPr>
          <w:b/>
          <w:bCs/>
        </w:rPr>
        <w:t>Stalking</w:t>
      </w:r>
      <w:r w:rsidRPr="00C77953">
        <w:rPr>
          <w:b/>
          <w:bCs/>
        </w:rPr>
        <w:t>:</w:t>
      </w:r>
    </w:p>
    <w:p w14:paraId="3D0F2833" w14:textId="1B6C7C0B" w:rsidR="009E69A4" w:rsidRDefault="009E69A4" w:rsidP="005521DD">
      <w:pPr>
        <w:pStyle w:val="ListParagraph"/>
        <w:numPr>
          <w:ilvl w:val="0"/>
          <w:numId w:val="57"/>
        </w:numPr>
      </w:pPr>
      <w:r>
        <w:t>engaging in a course of conduct</w:t>
      </w:r>
      <w:r w:rsidR="00812C50">
        <w:rPr>
          <w:rStyle w:val="FootnoteReference"/>
        </w:rPr>
        <w:footnoteReference w:id="10"/>
      </w:r>
      <w:r w:rsidR="0016472E">
        <w:t xml:space="preserve"> </w:t>
      </w:r>
      <w:proofErr w:type="gramStart"/>
      <w:r w:rsidR="0016472E">
        <w:t>on the basis of</w:t>
      </w:r>
      <w:proofErr w:type="gramEnd"/>
      <w:r w:rsidR="0016472E">
        <w:t xml:space="preserve"> sex</w:t>
      </w:r>
      <w:r w:rsidR="00812C50">
        <w:t>, that is</w:t>
      </w:r>
      <w:r>
        <w:t>,</w:t>
      </w:r>
    </w:p>
    <w:p w14:paraId="76D448A0" w14:textId="5F4D0C27" w:rsidR="009E69A4" w:rsidRDefault="009E69A4" w:rsidP="005521DD">
      <w:pPr>
        <w:pStyle w:val="ListParagraph"/>
        <w:numPr>
          <w:ilvl w:val="0"/>
          <w:numId w:val="57"/>
        </w:numPr>
      </w:pPr>
      <w:r>
        <w:t xml:space="preserve">directed at </w:t>
      </w:r>
      <w:r w:rsidR="00807A6D">
        <w:t>a specific person</w:t>
      </w:r>
      <w:r>
        <w:t xml:space="preserve"> that </w:t>
      </w:r>
      <w:r w:rsidR="00807A6D">
        <w:t>would cause a reasonable person</w:t>
      </w:r>
      <w:r w:rsidR="002A4AD8">
        <w:rPr>
          <w:rStyle w:val="FootnoteReference"/>
        </w:rPr>
        <w:footnoteReference w:id="11"/>
      </w:r>
      <w:r w:rsidR="00807A6D">
        <w:t xml:space="preserve"> to:</w:t>
      </w:r>
    </w:p>
    <w:p w14:paraId="355CFD52" w14:textId="1B1A1AF9" w:rsidR="00807A6D" w:rsidRDefault="00807A6D" w:rsidP="005521DD">
      <w:pPr>
        <w:pStyle w:val="ListParagraph"/>
        <w:numPr>
          <w:ilvl w:val="2"/>
          <w:numId w:val="57"/>
        </w:numPr>
      </w:pPr>
      <w:r>
        <w:t>fear for the person’s safety, or</w:t>
      </w:r>
    </w:p>
    <w:p w14:paraId="5D472EEF" w14:textId="0D68783C" w:rsidR="00807A6D" w:rsidRDefault="00807A6D" w:rsidP="005521DD">
      <w:pPr>
        <w:pStyle w:val="ListParagraph"/>
        <w:numPr>
          <w:ilvl w:val="2"/>
          <w:numId w:val="57"/>
        </w:numPr>
      </w:pPr>
      <w:r>
        <w:t>the safety of others; or</w:t>
      </w:r>
    </w:p>
    <w:p w14:paraId="19B7276B" w14:textId="0D2DC80A" w:rsidR="00AE07B5" w:rsidRDefault="002A4AD8" w:rsidP="005521DD">
      <w:pPr>
        <w:pStyle w:val="ListParagraph"/>
        <w:numPr>
          <w:ilvl w:val="2"/>
          <w:numId w:val="57"/>
        </w:numPr>
      </w:pPr>
      <w:r>
        <w:lastRenderedPageBreak/>
        <w:t>s</w:t>
      </w:r>
      <w:r w:rsidR="00807A6D">
        <w:t>uffer substantial emotional distress.</w:t>
      </w:r>
      <w:r>
        <w:rPr>
          <w:rStyle w:val="FootnoteReference"/>
        </w:rPr>
        <w:footnoteReference w:id="12"/>
      </w:r>
    </w:p>
    <w:p w14:paraId="0ADC2326" w14:textId="77777777" w:rsidR="00D846DB" w:rsidRDefault="00D846DB" w:rsidP="00F539C8">
      <w:pPr>
        <w:rPr>
          <w:b/>
          <w:bCs/>
        </w:rPr>
      </w:pPr>
    </w:p>
    <w:p w14:paraId="39A70E6F" w14:textId="7F2B154E" w:rsidR="00D846DB" w:rsidRDefault="00D846DB" w:rsidP="00F539C8">
      <w:pPr>
        <w:rPr>
          <w:b/>
          <w:bCs/>
        </w:rPr>
      </w:pPr>
      <w:r>
        <w:rPr>
          <w:b/>
          <w:bCs/>
        </w:rPr>
        <w:t>Sanction Ranges</w:t>
      </w:r>
    </w:p>
    <w:p w14:paraId="3684885E" w14:textId="77777777" w:rsidR="00D846DB" w:rsidRDefault="00D846DB" w:rsidP="00F539C8">
      <w:pPr>
        <w:rPr>
          <w:b/>
          <w:bCs/>
        </w:rPr>
      </w:pPr>
    </w:p>
    <w:p w14:paraId="4A8511D3" w14:textId="65AC8EE6" w:rsidR="00D846DB" w:rsidRDefault="00D846DB" w:rsidP="005521DD">
      <w:pPr>
        <w:pStyle w:val="ListParagraph"/>
        <w:numPr>
          <w:ilvl w:val="0"/>
          <w:numId w:val="48"/>
        </w:numPr>
      </w:pPr>
      <w:r w:rsidRPr="00ED3CAB">
        <w:t xml:space="preserve">The range </w:t>
      </w:r>
      <w:r>
        <w:t>of sanctions for sex discrimination is warning through expulsion or termination. Sanctions can be assigned outside this range based on aggravating or mitigating circumstances, or the cumulative conduct record of the Respondent.</w:t>
      </w:r>
    </w:p>
    <w:p w14:paraId="0317C76A" w14:textId="4191165E" w:rsidR="00D846DB" w:rsidRDefault="00D846DB" w:rsidP="005521DD">
      <w:pPr>
        <w:pStyle w:val="ListParagraph"/>
        <w:numPr>
          <w:ilvl w:val="0"/>
          <w:numId w:val="48"/>
        </w:numPr>
      </w:pPr>
      <w:r w:rsidRPr="003D5616">
        <w:t xml:space="preserve">The range </w:t>
      </w:r>
      <w:r>
        <w:t xml:space="preserve">of sanctions for Quid Pro Quo harassment is </w:t>
      </w:r>
      <w:r w:rsidR="001D390F">
        <w:t xml:space="preserve">warning </w:t>
      </w:r>
      <w:r>
        <w:t xml:space="preserve">through </w:t>
      </w:r>
      <w:r w:rsidR="001D390F">
        <w:t>expulsion/termination</w:t>
      </w:r>
      <w:r>
        <w:t>. Sanctions can be assigned outside this range based on aggravating or mitigating circumstances, or the cumulative conduct record of the Respondent.</w:t>
      </w:r>
    </w:p>
    <w:p w14:paraId="48E60276" w14:textId="41687084" w:rsidR="00531124" w:rsidRDefault="00531124" w:rsidP="005521DD">
      <w:pPr>
        <w:pStyle w:val="ListParagraph"/>
        <w:numPr>
          <w:ilvl w:val="0"/>
          <w:numId w:val="48"/>
        </w:numPr>
      </w:pPr>
      <w:r w:rsidRPr="003D5616">
        <w:t xml:space="preserve">The range </w:t>
      </w:r>
      <w:r>
        <w:t xml:space="preserve">of sanctions for Hostile Environment harassment is </w:t>
      </w:r>
      <w:r w:rsidR="001D390F">
        <w:t>warning</w:t>
      </w:r>
      <w:r>
        <w:t xml:space="preserve"> through </w:t>
      </w:r>
      <w:r w:rsidR="001D390F">
        <w:t>expulsion/termination</w:t>
      </w:r>
      <w:r>
        <w:t>. Sanctions can be assigned outside this range based on aggravating or mitigating circumstances, or the cumulative conduct record of the Respondent.</w:t>
      </w:r>
    </w:p>
    <w:p w14:paraId="5CF96FC5" w14:textId="0EB9C725" w:rsidR="00531124" w:rsidRDefault="00531124" w:rsidP="005521DD">
      <w:pPr>
        <w:pStyle w:val="ListParagraph"/>
        <w:numPr>
          <w:ilvl w:val="0"/>
          <w:numId w:val="48"/>
        </w:numPr>
      </w:pPr>
      <w:r w:rsidRPr="003D5616">
        <w:t xml:space="preserve">The range </w:t>
      </w:r>
      <w:r>
        <w:t xml:space="preserve">of sanctions for Rape is </w:t>
      </w:r>
      <w:r w:rsidR="001D390F">
        <w:t>suspension</w:t>
      </w:r>
      <w:r>
        <w:t xml:space="preserve"> through </w:t>
      </w:r>
      <w:r w:rsidR="001D390F">
        <w:t>expulsion/termination</w:t>
      </w:r>
      <w:r>
        <w:t>. Sanctions can be assigned outside this range based on aggravating or mitigating circumstances, or the cumulative conduct record of the Respondent.</w:t>
      </w:r>
    </w:p>
    <w:p w14:paraId="0F5F38BC" w14:textId="35AB0101" w:rsidR="00531124" w:rsidRDefault="00531124" w:rsidP="005521DD">
      <w:pPr>
        <w:pStyle w:val="ListParagraph"/>
        <w:numPr>
          <w:ilvl w:val="0"/>
          <w:numId w:val="48"/>
        </w:numPr>
      </w:pPr>
      <w:r w:rsidRPr="003D5616">
        <w:t xml:space="preserve">The range </w:t>
      </w:r>
      <w:r>
        <w:t xml:space="preserve">of sanctions for Sexual Assault with an Object is </w:t>
      </w:r>
      <w:r w:rsidR="00A1387F">
        <w:t>suspension</w:t>
      </w:r>
      <w:r>
        <w:t xml:space="preserve"> through </w:t>
      </w:r>
      <w:r w:rsidR="00A1387F">
        <w:t>expulsion/termination</w:t>
      </w:r>
      <w:r>
        <w:t>. Sanctions can be assigned outside this range based on aggravating or mitigating circumstances, or the cumulative conduct record of the Respondent.</w:t>
      </w:r>
    </w:p>
    <w:p w14:paraId="41E32F91" w14:textId="15161BFE" w:rsidR="00D846DB" w:rsidRPr="00D846DB" w:rsidRDefault="00531124" w:rsidP="005521DD">
      <w:pPr>
        <w:pStyle w:val="ListParagraph"/>
        <w:numPr>
          <w:ilvl w:val="0"/>
          <w:numId w:val="48"/>
        </w:numPr>
      </w:pPr>
      <w:r w:rsidRPr="003D5616">
        <w:t xml:space="preserve">The range </w:t>
      </w:r>
      <w:r>
        <w:t xml:space="preserve">of sanctions for Sodomy is </w:t>
      </w:r>
      <w:r w:rsidR="001D390F">
        <w:t>suspension</w:t>
      </w:r>
      <w:r>
        <w:t xml:space="preserve"> through </w:t>
      </w:r>
      <w:r w:rsidR="001D390F">
        <w:t>expulsion/termination</w:t>
      </w:r>
      <w:r>
        <w:t>. Sanctions can be assigned outside this range based on aggravating or mitigating circumstances, or the cumulative conduct record of the Respondent.</w:t>
      </w:r>
    </w:p>
    <w:p w14:paraId="18A01DC8" w14:textId="1DA4E732" w:rsidR="00531124" w:rsidRDefault="00531124" w:rsidP="005521DD">
      <w:pPr>
        <w:pStyle w:val="ListParagraph"/>
        <w:numPr>
          <w:ilvl w:val="0"/>
          <w:numId w:val="48"/>
        </w:numPr>
      </w:pPr>
      <w:r w:rsidRPr="003D5616">
        <w:t xml:space="preserve">The range </w:t>
      </w:r>
      <w:r>
        <w:t xml:space="preserve">of sanctions for Fondling is </w:t>
      </w:r>
      <w:r w:rsidR="001D390F">
        <w:t>warning</w:t>
      </w:r>
      <w:r>
        <w:t xml:space="preserve"> through </w:t>
      </w:r>
      <w:r w:rsidR="001D390F">
        <w:t>suspension (termination for employees)</w:t>
      </w:r>
      <w:r>
        <w:t>. Sanctions can be assigned outside this range based on aggravating or mitigating circumstances, or the cumulative conduct record of the Respondent.</w:t>
      </w:r>
    </w:p>
    <w:p w14:paraId="112E0487" w14:textId="7B260158" w:rsidR="00531124" w:rsidRDefault="00531124" w:rsidP="005521DD">
      <w:pPr>
        <w:pStyle w:val="ListParagraph"/>
        <w:numPr>
          <w:ilvl w:val="0"/>
          <w:numId w:val="48"/>
        </w:numPr>
      </w:pPr>
      <w:r w:rsidRPr="003D5616">
        <w:t xml:space="preserve">The range </w:t>
      </w:r>
      <w:r>
        <w:t xml:space="preserve">of sanctions for </w:t>
      </w:r>
      <w:r w:rsidR="00AB0559">
        <w:t>Incest</w:t>
      </w:r>
      <w:r>
        <w:t xml:space="preserve"> is </w:t>
      </w:r>
      <w:r w:rsidR="001D390F">
        <w:t>warning</w:t>
      </w:r>
      <w:r>
        <w:t xml:space="preserve"> through </w:t>
      </w:r>
      <w:r w:rsidR="001D390F">
        <w:t>probation</w:t>
      </w:r>
      <w:r>
        <w:t>. Sanctions can be assigned outside this range based on aggravating or mitigating circumstances, or the cumulative conduct record of the Respondent.</w:t>
      </w:r>
    </w:p>
    <w:p w14:paraId="29983405" w14:textId="7BEE891C" w:rsidR="00AB0559" w:rsidRDefault="00AB0559" w:rsidP="005521DD">
      <w:pPr>
        <w:pStyle w:val="ListParagraph"/>
        <w:numPr>
          <w:ilvl w:val="0"/>
          <w:numId w:val="48"/>
        </w:numPr>
      </w:pPr>
      <w:r w:rsidRPr="003D5616">
        <w:t xml:space="preserve">The range </w:t>
      </w:r>
      <w:r>
        <w:t xml:space="preserve">of sanctions for Statutory Rape is </w:t>
      </w:r>
      <w:r w:rsidR="001D390F">
        <w:t>warning</w:t>
      </w:r>
      <w:r>
        <w:t xml:space="preserve"> through </w:t>
      </w:r>
      <w:r w:rsidR="001D390F">
        <w:t>suspension (termination for employees)</w:t>
      </w:r>
      <w:r>
        <w:t>. Sanctions can be assigned outside this range based on aggravating or mitigating circumstances, or the cumulative conduct record of the Respondent.</w:t>
      </w:r>
    </w:p>
    <w:p w14:paraId="1714B050" w14:textId="4C243549" w:rsidR="00AB0559" w:rsidRDefault="00AB0559" w:rsidP="005521DD">
      <w:pPr>
        <w:pStyle w:val="ListParagraph"/>
        <w:numPr>
          <w:ilvl w:val="0"/>
          <w:numId w:val="48"/>
        </w:numPr>
      </w:pPr>
      <w:r w:rsidRPr="003D5616">
        <w:t xml:space="preserve">The range </w:t>
      </w:r>
      <w:r>
        <w:t xml:space="preserve">of sanctions for Stalking is </w:t>
      </w:r>
      <w:r w:rsidR="001D390F">
        <w:t>probation</w:t>
      </w:r>
      <w:r>
        <w:t xml:space="preserve"> through </w:t>
      </w:r>
      <w:r w:rsidR="001D390F">
        <w:t>expulsion/termination</w:t>
      </w:r>
      <w:r>
        <w:t>. Sanctions can be assigned outside this range based on aggravating or mitigating circumstances, or the cumulative conduct record of the Respondent.</w:t>
      </w:r>
    </w:p>
    <w:p w14:paraId="58A3CD09" w14:textId="489BF892" w:rsidR="00AB0559" w:rsidRDefault="00AB0559" w:rsidP="005521DD">
      <w:pPr>
        <w:pStyle w:val="ListParagraph"/>
        <w:numPr>
          <w:ilvl w:val="0"/>
          <w:numId w:val="48"/>
        </w:numPr>
      </w:pPr>
      <w:r w:rsidRPr="003D5616">
        <w:t xml:space="preserve">The range </w:t>
      </w:r>
      <w:r>
        <w:t xml:space="preserve">of sanctions for Dating/Domestic Violence is </w:t>
      </w:r>
      <w:r w:rsidR="001D390F">
        <w:t>probation</w:t>
      </w:r>
      <w:r>
        <w:t xml:space="preserve"> through </w:t>
      </w:r>
      <w:r w:rsidR="001D390F">
        <w:t>expulsion/termination</w:t>
      </w:r>
      <w:r>
        <w:t xml:space="preserve">. Sanctions can be assigned outside this range based on </w:t>
      </w:r>
      <w:r>
        <w:lastRenderedPageBreak/>
        <w:t>aggravating or mitigating circumstances, or the cumulative conduct record of the Respondent.</w:t>
      </w:r>
    </w:p>
    <w:p w14:paraId="59C2B8EF" w14:textId="76087D59" w:rsidR="00AB0559" w:rsidRDefault="00AB0559" w:rsidP="005521DD">
      <w:pPr>
        <w:pStyle w:val="ListParagraph"/>
        <w:numPr>
          <w:ilvl w:val="0"/>
          <w:numId w:val="48"/>
        </w:numPr>
      </w:pPr>
      <w:r w:rsidRPr="003D5616">
        <w:t xml:space="preserve">The range </w:t>
      </w:r>
      <w:r>
        <w:t xml:space="preserve">of sanctions for Sexual Exploitation is </w:t>
      </w:r>
      <w:r w:rsidR="001D390F">
        <w:t>warning</w:t>
      </w:r>
      <w:r>
        <w:t xml:space="preserve"> through </w:t>
      </w:r>
      <w:r w:rsidR="001D390F">
        <w:t>expulsion/termination</w:t>
      </w:r>
      <w:r>
        <w:t>. Sanctions can be assigned outside this range based on aggravating or mitigating circumstances, or the cumulative conduct record of the Respondent.</w:t>
      </w:r>
    </w:p>
    <w:p w14:paraId="2707BCB7" w14:textId="625763CD" w:rsidR="00531124" w:rsidRDefault="00AB0559" w:rsidP="005521DD">
      <w:pPr>
        <w:pStyle w:val="ListParagraph"/>
        <w:numPr>
          <w:ilvl w:val="0"/>
          <w:numId w:val="48"/>
        </w:numPr>
      </w:pPr>
      <w:r w:rsidRPr="003D5616">
        <w:t xml:space="preserve">The range </w:t>
      </w:r>
      <w:r>
        <w:t xml:space="preserve">of sanctions for Retaliation is </w:t>
      </w:r>
      <w:r w:rsidR="001D390F">
        <w:t>warning</w:t>
      </w:r>
      <w:r>
        <w:t xml:space="preserve"> through </w:t>
      </w:r>
      <w:r w:rsidR="001D390F">
        <w:t>expulsion/termination</w:t>
      </w:r>
      <w:r>
        <w:t>. Sanctions can be assigned outside this range based on aggravating or mitigating circumstances, or the cumulative conduct record of the Respondent.</w:t>
      </w:r>
    </w:p>
    <w:p w14:paraId="34BD2592" w14:textId="77777777" w:rsidR="00D846DB" w:rsidRDefault="00D846DB" w:rsidP="00F539C8">
      <w:pPr>
        <w:rPr>
          <w:b/>
          <w:bCs/>
        </w:rPr>
      </w:pPr>
    </w:p>
    <w:p w14:paraId="57968AE7" w14:textId="6D0BCD66" w:rsidR="00AE07B5" w:rsidRDefault="00AE07B5" w:rsidP="00F539C8">
      <w:r w:rsidRPr="00F539C8">
        <w:rPr>
          <w:b/>
          <w:bCs/>
        </w:rPr>
        <w:t>Sexual Misconduct</w:t>
      </w:r>
      <w:r w:rsidR="00746832">
        <w:rPr>
          <w:rStyle w:val="FootnoteReference"/>
          <w:b/>
          <w:bCs/>
        </w:rPr>
        <w:footnoteReference w:id="13"/>
      </w:r>
    </w:p>
    <w:p w14:paraId="5FFC44F0" w14:textId="5CC12005" w:rsidR="009E69A4" w:rsidRDefault="009E69A4" w:rsidP="00F539C8">
      <w:pPr>
        <w:ind w:left="720"/>
      </w:pPr>
      <w:r>
        <w:tab/>
      </w:r>
    </w:p>
    <w:p w14:paraId="7E6C96D6" w14:textId="77F6384E" w:rsidR="00E25078" w:rsidRDefault="00E25078" w:rsidP="005521DD">
      <w:pPr>
        <w:pStyle w:val="ListParagraph"/>
        <w:numPr>
          <w:ilvl w:val="0"/>
          <w:numId w:val="33"/>
        </w:numPr>
        <w:ind w:left="1440"/>
      </w:pPr>
      <w:r w:rsidRPr="004C3F59">
        <w:rPr>
          <w:b/>
          <w:bCs/>
        </w:rPr>
        <w:t>Sexual Exploitation</w:t>
      </w:r>
      <w:r w:rsidRPr="00F539C8">
        <w:rPr>
          <w:b/>
          <w:bCs/>
        </w:rPr>
        <w:t>:</w:t>
      </w:r>
      <w:r w:rsidR="00C77953" w:rsidRPr="00ED3CAB">
        <w:rPr>
          <w:rStyle w:val="FootnoteReference"/>
        </w:rPr>
        <w:footnoteReference w:id="14"/>
      </w:r>
      <w:r w:rsidRPr="008E2D9B">
        <w:t xml:space="preserve"> </w:t>
      </w:r>
    </w:p>
    <w:p w14:paraId="746CD944" w14:textId="305FF137" w:rsidR="00330921" w:rsidRDefault="00E25078" w:rsidP="005521DD">
      <w:pPr>
        <w:pStyle w:val="ListParagraph"/>
        <w:numPr>
          <w:ilvl w:val="0"/>
          <w:numId w:val="58"/>
        </w:numPr>
      </w:pPr>
      <w:r>
        <w:t>an individual taking non-consensual or abusive sexual advantage of another</w:t>
      </w:r>
      <w:r w:rsidR="001B70F8">
        <w:t>, that does not constitute Sex-based Harassment as defined above.</w:t>
      </w:r>
    </w:p>
    <w:p w14:paraId="5598BA24" w14:textId="3521F83C" w:rsidR="00E25078" w:rsidRDefault="00E25078" w:rsidP="005521DD">
      <w:pPr>
        <w:pStyle w:val="ListParagraph"/>
        <w:numPr>
          <w:ilvl w:val="0"/>
          <w:numId w:val="58"/>
        </w:numPr>
      </w:pPr>
      <w:r>
        <w:t>for their own benefit or for the benefit of anyone other than the person being exploited.</w:t>
      </w:r>
    </w:p>
    <w:p w14:paraId="394713D1" w14:textId="77777777" w:rsidR="00E25078" w:rsidRDefault="00E25078" w:rsidP="00E25078">
      <w:pPr>
        <w:pStyle w:val="ListParagraph"/>
        <w:ind w:left="2160"/>
      </w:pPr>
    </w:p>
    <w:p w14:paraId="68470CEE" w14:textId="04A5D459" w:rsidR="00392687" w:rsidRDefault="00E25078" w:rsidP="00392687">
      <w:pPr>
        <w:ind w:left="1440"/>
      </w:pPr>
      <w:r>
        <w:t>Examples of Sexual Exploitation include, but are not limited to:</w:t>
      </w:r>
    </w:p>
    <w:p w14:paraId="279DAFAE" w14:textId="77777777" w:rsidR="00E25078" w:rsidRDefault="00E25078" w:rsidP="005521DD">
      <w:pPr>
        <w:pStyle w:val="ListParagraph"/>
        <w:numPr>
          <w:ilvl w:val="0"/>
          <w:numId w:val="11"/>
        </w:numPr>
        <w:ind w:left="2160"/>
      </w:pPr>
      <w:r>
        <w:t>Sexual voyeurism (such as observing or allowing others to observe a person undressing or using the bathroom or engaging in sexual acts, without the consent of the person being observed)</w:t>
      </w:r>
    </w:p>
    <w:p w14:paraId="67697D5A" w14:textId="77777777" w:rsidR="00E25078" w:rsidRDefault="00E25078" w:rsidP="005521DD">
      <w:pPr>
        <w:pStyle w:val="ListParagraph"/>
        <w:numPr>
          <w:ilvl w:val="0"/>
          <w:numId w:val="11"/>
        </w:numPr>
        <w:ind w:left="2160"/>
      </w:pPr>
      <w:r>
        <w:t xml:space="preserve">Invasion of sexual privacy (e.g., </w:t>
      </w:r>
      <w:proofErr w:type="spellStart"/>
      <w:r>
        <w:t>doxxing</w:t>
      </w:r>
      <w:proofErr w:type="spellEnd"/>
      <w:r>
        <w:t>)</w:t>
      </w:r>
    </w:p>
    <w:p w14:paraId="54FAC90D" w14:textId="77777777" w:rsidR="00E25078" w:rsidRDefault="00E25078" w:rsidP="005521DD">
      <w:pPr>
        <w:pStyle w:val="ListParagraph"/>
        <w:numPr>
          <w:ilvl w:val="0"/>
          <w:numId w:val="11"/>
        </w:numPr>
        <w:ind w:left="2160"/>
      </w:pPr>
      <w:r>
        <w:t>Knowingly making an unwelcome disclosure of (or threatening to disclose) an individual's sexual orientation, gender identity, or gender expression</w:t>
      </w:r>
    </w:p>
    <w:p w14:paraId="33FFCC05" w14:textId="65B155FD" w:rsidR="00E25078" w:rsidRDefault="00E25078" w:rsidP="005521DD">
      <w:pPr>
        <w:pStyle w:val="ListParagraph"/>
        <w:numPr>
          <w:ilvl w:val="0"/>
          <w:numId w:val="11"/>
        </w:numPr>
        <w:ind w:left="2160"/>
      </w:pPr>
      <w:r>
        <w:t>Taking pictures, video, or audio recording of another in a sexual act, or in any other sexually related activity when there is a reasonable expectation of privacy during the activity, without the consent of all involved in the activity; or exceeding the boundaries of consent (such as allowing another person to hide in a closet and observe sexual activity</w:t>
      </w:r>
      <w:r w:rsidR="00E02877">
        <w:t>,</w:t>
      </w:r>
      <w:r>
        <w:t xml:space="preserve"> or disseminating sexual pictures without the photographed person’s consent), including the making or posting of non-consensual pornography</w:t>
      </w:r>
    </w:p>
    <w:p w14:paraId="77429C8D" w14:textId="77777777" w:rsidR="00E25078" w:rsidRDefault="00E25078" w:rsidP="005521DD">
      <w:pPr>
        <w:pStyle w:val="ListParagraph"/>
        <w:numPr>
          <w:ilvl w:val="0"/>
          <w:numId w:val="11"/>
        </w:numPr>
        <w:ind w:left="2160"/>
      </w:pPr>
      <w:r>
        <w:t>Prostituting another person</w:t>
      </w:r>
    </w:p>
    <w:p w14:paraId="517CCB07" w14:textId="77777777" w:rsidR="00E25078" w:rsidRDefault="00E25078" w:rsidP="005521DD">
      <w:pPr>
        <w:pStyle w:val="ListParagraph"/>
        <w:numPr>
          <w:ilvl w:val="0"/>
          <w:numId w:val="11"/>
        </w:numPr>
        <w:ind w:left="2160"/>
      </w:pPr>
      <w:r>
        <w:t>Engaging in sexual activity with another person while knowingly infected with human immunodeficiency virus (HIV) or a sexually transmitted disease (STD) or infection (STI), without informing the other person of the virus, disease, or infection</w:t>
      </w:r>
    </w:p>
    <w:p w14:paraId="3B85A47C" w14:textId="77777777" w:rsidR="00E25078" w:rsidRDefault="00E25078" w:rsidP="005521DD">
      <w:pPr>
        <w:pStyle w:val="ListParagraph"/>
        <w:numPr>
          <w:ilvl w:val="0"/>
          <w:numId w:val="11"/>
        </w:numPr>
        <w:ind w:left="2160"/>
      </w:pPr>
      <w:r>
        <w:t xml:space="preserve">Causing or attempting to cause the incapacitation of another person (through alcohol, drugs, or any other means) for the purpose of </w:t>
      </w:r>
      <w:r>
        <w:lastRenderedPageBreak/>
        <w:t>compromising that person’s ability to give consent to sexual activity, or for the purpose of making that person vulnerable to non-consensual sexual activity</w:t>
      </w:r>
    </w:p>
    <w:p w14:paraId="1103F3D4" w14:textId="77777777" w:rsidR="00E25078" w:rsidRDefault="00E25078" w:rsidP="005521DD">
      <w:pPr>
        <w:pStyle w:val="ListParagraph"/>
        <w:numPr>
          <w:ilvl w:val="0"/>
          <w:numId w:val="11"/>
        </w:numPr>
        <w:ind w:left="2160"/>
      </w:pPr>
      <w:r>
        <w:t>Misappropriation of another person’s identity on apps, websites, or other venues designed for dating or sexual connections (e.g., spoofing)</w:t>
      </w:r>
    </w:p>
    <w:p w14:paraId="5FADCA21" w14:textId="77777777" w:rsidR="00E25078" w:rsidRDefault="00E25078" w:rsidP="005521DD">
      <w:pPr>
        <w:pStyle w:val="ListParagraph"/>
        <w:numPr>
          <w:ilvl w:val="0"/>
          <w:numId w:val="11"/>
        </w:numPr>
        <w:ind w:left="2160"/>
      </w:pPr>
      <w:r>
        <w:t>Forcing a person to take an action against that person’s will by threatening to show, post, or share information, video, audio, or an image that depicts the person’s nudity or sexual activity</w:t>
      </w:r>
    </w:p>
    <w:p w14:paraId="29304415" w14:textId="77777777" w:rsidR="00E25078" w:rsidRDefault="00E25078" w:rsidP="005521DD">
      <w:pPr>
        <w:pStyle w:val="ListParagraph"/>
        <w:numPr>
          <w:ilvl w:val="0"/>
          <w:numId w:val="11"/>
        </w:numPr>
        <w:ind w:left="2160"/>
      </w:pPr>
      <w:r>
        <w:t>Knowingly soliciting a minor for sexual activity</w:t>
      </w:r>
    </w:p>
    <w:p w14:paraId="3BB0A947" w14:textId="77777777" w:rsidR="00E25078" w:rsidRDefault="00E25078" w:rsidP="005521DD">
      <w:pPr>
        <w:pStyle w:val="ListParagraph"/>
        <w:numPr>
          <w:ilvl w:val="0"/>
          <w:numId w:val="11"/>
        </w:numPr>
        <w:ind w:left="2160"/>
      </w:pPr>
      <w:r>
        <w:t>Engaging in sex trafficking</w:t>
      </w:r>
    </w:p>
    <w:p w14:paraId="035AE5DC" w14:textId="77777777" w:rsidR="00E25078" w:rsidRDefault="00E25078" w:rsidP="005521DD">
      <w:pPr>
        <w:pStyle w:val="ListParagraph"/>
        <w:numPr>
          <w:ilvl w:val="0"/>
          <w:numId w:val="11"/>
        </w:numPr>
        <w:ind w:left="2160"/>
      </w:pPr>
      <w:r>
        <w:t>Knowingly creating, possessing, or disseminating child sexual abuse images or recordings</w:t>
      </w:r>
    </w:p>
    <w:p w14:paraId="1C1FF706" w14:textId="3D46E35A" w:rsidR="00E25078" w:rsidRDefault="00E25078" w:rsidP="005521DD">
      <w:pPr>
        <w:pStyle w:val="ListParagraph"/>
        <w:numPr>
          <w:ilvl w:val="0"/>
          <w:numId w:val="11"/>
        </w:numPr>
        <w:ind w:left="2160"/>
      </w:pPr>
      <w:r>
        <w:t>Creating or disseminating synthetic media</w:t>
      </w:r>
      <w:r w:rsidR="00FC7B8E">
        <w:t>,</w:t>
      </w:r>
      <w:r>
        <w:t xml:space="preserve"> including images, videos, or audio representations of individuals doing or saying </w:t>
      </w:r>
      <w:proofErr w:type="gramStart"/>
      <w:r w:rsidR="00065561">
        <w:t>sexually-related</w:t>
      </w:r>
      <w:proofErr w:type="gramEnd"/>
      <w:r w:rsidR="00065561">
        <w:t xml:space="preserve"> </w:t>
      </w:r>
      <w:r>
        <w:t>things that never happened</w:t>
      </w:r>
      <w:r w:rsidR="00065561">
        <w:t xml:space="preserve">, or placing identifiable real people in fictitious pornographic or nude situations without their consent </w:t>
      </w:r>
      <w:r>
        <w:t>(i.e., Deepfakes)</w:t>
      </w:r>
    </w:p>
    <w:p w14:paraId="16F7E329" w14:textId="603ECEF6" w:rsidR="00E25078" w:rsidRDefault="00E25078" w:rsidP="005521DD">
      <w:pPr>
        <w:pStyle w:val="ListParagraph"/>
        <w:numPr>
          <w:ilvl w:val="0"/>
          <w:numId w:val="11"/>
        </w:numPr>
        <w:ind w:left="2160"/>
      </w:pPr>
      <w:r>
        <w:t>Creating or disseminating images or videos</w:t>
      </w:r>
      <w:r w:rsidR="00065561">
        <w:t xml:space="preserve"> of</w:t>
      </w:r>
      <w:r>
        <w:t xml:space="preserve"> child sexual abuse material</w:t>
      </w:r>
    </w:p>
    <w:p w14:paraId="5E8F2F9C" w14:textId="77777777" w:rsidR="00E25078" w:rsidRDefault="00E25078" w:rsidP="009E69A4">
      <w:pPr>
        <w:ind w:left="720"/>
        <w:rPr>
          <w:highlight w:val="lightGray"/>
        </w:rPr>
      </w:pPr>
    </w:p>
    <w:p w14:paraId="0E4B16FF" w14:textId="6E631409" w:rsidR="00E25078" w:rsidRPr="00ED3CAB" w:rsidRDefault="00E25078" w:rsidP="00C76D0B">
      <w:pPr>
        <w:pStyle w:val="Heading2"/>
        <w:rPr>
          <w:b w:val="0"/>
          <w:bCs w:val="0"/>
        </w:rPr>
      </w:pPr>
      <w:bookmarkStart w:id="33" w:name="_Toc168477507"/>
      <w:r w:rsidRPr="00C76D0B">
        <w:t>Other Prohibited Conduct</w:t>
      </w:r>
      <w:bookmarkEnd w:id="33"/>
    </w:p>
    <w:p w14:paraId="72059263" w14:textId="77777777" w:rsidR="00E25078" w:rsidRDefault="00E25078" w:rsidP="009E69A4">
      <w:pPr>
        <w:ind w:left="720"/>
        <w:rPr>
          <w:highlight w:val="lightGray"/>
        </w:rPr>
      </w:pPr>
    </w:p>
    <w:p w14:paraId="3755F15D" w14:textId="4B91038F" w:rsidR="00713716" w:rsidRDefault="00713716" w:rsidP="005521DD">
      <w:pPr>
        <w:pStyle w:val="ListParagraph"/>
        <w:numPr>
          <w:ilvl w:val="0"/>
          <w:numId w:val="34"/>
        </w:numPr>
        <w:ind w:left="1440"/>
      </w:pPr>
      <w:r w:rsidRPr="000104FB">
        <w:rPr>
          <w:b/>
          <w:bCs/>
        </w:rPr>
        <w:t>Bullying</w:t>
      </w:r>
      <w:r w:rsidRPr="00330921">
        <w:rPr>
          <w:b/>
          <w:bCs/>
        </w:rPr>
        <w:t>:</w:t>
      </w:r>
      <w:r w:rsidR="0050502A">
        <w:rPr>
          <w:rStyle w:val="FootnoteReference"/>
          <w:b/>
          <w:bCs/>
        </w:rPr>
        <w:footnoteReference w:id="15"/>
      </w:r>
    </w:p>
    <w:p w14:paraId="77193E58" w14:textId="77777777" w:rsidR="00713716" w:rsidRDefault="00713716" w:rsidP="005521DD">
      <w:pPr>
        <w:pStyle w:val="ListParagraph"/>
        <w:numPr>
          <w:ilvl w:val="0"/>
          <w:numId w:val="59"/>
        </w:numPr>
      </w:pPr>
      <w:r>
        <w:t xml:space="preserve">repeated and/or severe aggressive behavior </w:t>
      </w:r>
    </w:p>
    <w:p w14:paraId="1E79B3B3" w14:textId="77777777" w:rsidR="00713716" w:rsidRDefault="00713716" w:rsidP="005521DD">
      <w:pPr>
        <w:pStyle w:val="ListParagraph"/>
        <w:numPr>
          <w:ilvl w:val="0"/>
          <w:numId w:val="59"/>
        </w:numPr>
      </w:pPr>
      <w:r>
        <w:t xml:space="preserve">that is likely to intimidate or intentionally hurt, control, or physically or mentally diminish the Complainant, </w:t>
      </w:r>
    </w:p>
    <w:p w14:paraId="2F33A3EE" w14:textId="2D260FC8" w:rsidR="00713716" w:rsidRPr="00F01F27" w:rsidRDefault="00713716" w:rsidP="005521DD">
      <w:pPr>
        <w:pStyle w:val="ListParagraph"/>
        <w:numPr>
          <w:ilvl w:val="0"/>
          <w:numId w:val="59"/>
        </w:numPr>
      </w:pPr>
      <w:r w:rsidRPr="007F6017">
        <w:rPr>
          <w:highlight w:val="lightGray"/>
        </w:rPr>
        <w:t>that is not speech or conduct that is otherwise protected by the First Amendment.</w:t>
      </w:r>
      <w:r>
        <w:rPr>
          <w:highlight w:val="lightGray"/>
        </w:rPr>
        <w:br/>
      </w:r>
    </w:p>
    <w:p w14:paraId="081BAA06" w14:textId="044484D6" w:rsidR="00C76D0B" w:rsidRDefault="00C76D0B" w:rsidP="005521DD">
      <w:pPr>
        <w:pStyle w:val="ListParagraph"/>
        <w:numPr>
          <w:ilvl w:val="0"/>
          <w:numId w:val="34"/>
        </w:numPr>
        <w:ind w:left="1440"/>
      </w:pPr>
      <w:r w:rsidRPr="004C3F59">
        <w:rPr>
          <w:b/>
          <w:bCs/>
        </w:rPr>
        <w:t>Endangerment</w:t>
      </w:r>
      <w:r w:rsidRPr="00F01F27">
        <w:rPr>
          <w:b/>
          <w:bCs/>
        </w:rPr>
        <w:t>:</w:t>
      </w:r>
    </w:p>
    <w:p w14:paraId="28565F8E" w14:textId="77777777" w:rsidR="00C76D0B" w:rsidRDefault="00C76D0B" w:rsidP="005521DD">
      <w:pPr>
        <w:pStyle w:val="ListParagraph"/>
        <w:numPr>
          <w:ilvl w:val="0"/>
          <w:numId w:val="60"/>
        </w:numPr>
      </w:pPr>
      <w:r>
        <w:t xml:space="preserve">threatening or causing physical </w:t>
      </w:r>
      <w:proofErr w:type="gramStart"/>
      <w:r>
        <w:t>harm;</w:t>
      </w:r>
      <w:proofErr w:type="gramEnd"/>
      <w:r>
        <w:t xml:space="preserve"> </w:t>
      </w:r>
    </w:p>
    <w:p w14:paraId="149C86FB" w14:textId="77777777" w:rsidR="00C76D0B" w:rsidRDefault="00C76D0B" w:rsidP="005521DD">
      <w:pPr>
        <w:pStyle w:val="ListParagraph"/>
        <w:numPr>
          <w:ilvl w:val="0"/>
          <w:numId w:val="60"/>
        </w:numPr>
      </w:pPr>
      <w:r>
        <w:t xml:space="preserve">extreme verbal, emotional, or psychological abuse; or </w:t>
      </w:r>
    </w:p>
    <w:p w14:paraId="53F30E18" w14:textId="2C5392FF" w:rsidR="00C76D0B" w:rsidRDefault="00C76D0B" w:rsidP="005521DD">
      <w:pPr>
        <w:pStyle w:val="ListParagraph"/>
        <w:numPr>
          <w:ilvl w:val="0"/>
          <w:numId w:val="60"/>
        </w:numPr>
        <w:spacing w:after="160" w:line="259" w:lineRule="auto"/>
      </w:pPr>
      <w:r>
        <w:t>other conduct which threatens or endangers the health or safety of any person or damages their property.</w:t>
      </w:r>
      <w:r w:rsidR="00713716">
        <w:br/>
      </w:r>
    </w:p>
    <w:p w14:paraId="1BB3B077" w14:textId="7FA60137" w:rsidR="00713716" w:rsidRDefault="00713716" w:rsidP="005521DD">
      <w:pPr>
        <w:pStyle w:val="ListParagraph"/>
        <w:numPr>
          <w:ilvl w:val="0"/>
          <w:numId w:val="34"/>
        </w:numPr>
        <w:ind w:left="1440"/>
      </w:pPr>
      <w:r w:rsidRPr="000104FB">
        <w:rPr>
          <w:b/>
          <w:bCs/>
        </w:rPr>
        <w:t>Hazing</w:t>
      </w:r>
      <w:r w:rsidRPr="00F01F27">
        <w:rPr>
          <w:b/>
          <w:bCs/>
        </w:rPr>
        <w:t>:</w:t>
      </w:r>
    </w:p>
    <w:p w14:paraId="4A67BA27" w14:textId="7C8AE41C" w:rsidR="00713716" w:rsidRDefault="00713716" w:rsidP="005521DD">
      <w:pPr>
        <w:pStyle w:val="ListParagraph"/>
        <w:numPr>
          <w:ilvl w:val="0"/>
          <w:numId w:val="61"/>
        </w:numPr>
      </w:pPr>
      <w:r>
        <w:t>any act or action</w:t>
      </w:r>
    </w:p>
    <w:p w14:paraId="2B97157C" w14:textId="6496A269" w:rsidR="00713716" w:rsidRDefault="00713716" w:rsidP="005521DD">
      <w:pPr>
        <w:pStyle w:val="ListParagraph"/>
        <w:numPr>
          <w:ilvl w:val="0"/>
          <w:numId w:val="61"/>
        </w:numPr>
      </w:pPr>
      <w:r>
        <w:t xml:space="preserve">which </w:t>
      </w:r>
      <w:r w:rsidR="006F722C">
        <w:t>does or is likely</w:t>
      </w:r>
      <w:r>
        <w:t xml:space="preserve"> to endanger the mental or physical health or safety of any individual</w:t>
      </w:r>
    </w:p>
    <w:p w14:paraId="69DA33FA" w14:textId="01E17755" w:rsidR="00713716" w:rsidRDefault="00713716" w:rsidP="005521DD">
      <w:pPr>
        <w:pStyle w:val="ListParagraph"/>
        <w:numPr>
          <w:ilvl w:val="0"/>
          <w:numId w:val="61"/>
        </w:numPr>
      </w:pPr>
      <w:r>
        <w:t xml:space="preserve">as it relates to an individual’s initiation, admission into, or affiliation with any </w:t>
      </w:r>
      <w:r w:rsidR="006F722C" w:rsidRPr="00ED3CAB">
        <w:rPr>
          <w:highlight w:val="lightGray"/>
        </w:rPr>
        <w:t>Recipient</w:t>
      </w:r>
      <w:r w:rsidR="006F722C">
        <w:t xml:space="preserve"> </w:t>
      </w:r>
      <w:r>
        <w:t>group or organization.</w:t>
      </w:r>
    </w:p>
    <w:p w14:paraId="69FCB643" w14:textId="77777777" w:rsidR="00713716" w:rsidRDefault="00713716" w:rsidP="00713716">
      <w:pPr>
        <w:ind w:left="1080"/>
      </w:pPr>
    </w:p>
    <w:p w14:paraId="05C7BA3B" w14:textId="5F3CA532" w:rsidR="00713716" w:rsidRDefault="00713716" w:rsidP="00F539C8">
      <w:pPr>
        <w:ind w:left="1080" w:firstLine="360"/>
      </w:pPr>
      <w:r>
        <w:t>For the purposes of this definition</w:t>
      </w:r>
      <w:r w:rsidR="004702E0">
        <w:rPr>
          <w:rFonts w:cs="Calibri"/>
        </w:rPr>
        <w:t>:</w:t>
      </w:r>
    </w:p>
    <w:p w14:paraId="4D32E427" w14:textId="77777777" w:rsidR="00713716" w:rsidRPr="00903CE4" w:rsidRDefault="00713716" w:rsidP="005521DD">
      <w:pPr>
        <w:pStyle w:val="ListParagraph"/>
        <w:numPr>
          <w:ilvl w:val="0"/>
          <w:numId w:val="35"/>
        </w:numPr>
        <w:ind w:left="2160"/>
      </w:pPr>
      <w:r w:rsidRPr="00903CE4">
        <w:t>It is not necessary that a person’s initiation or continued membership is contingent upon participation in the activity, or that the activity was sanctioned or approved by the Student Group or Student Organization, for a</w:t>
      </w:r>
      <w:r>
        <w:t>n allegation</w:t>
      </w:r>
      <w:r w:rsidRPr="00903CE4">
        <w:t xml:space="preserve"> of hazing to be upheld.</w:t>
      </w:r>
    </w:p>
    <w:p w14:paraId="09E47116" w14:textId="77777777" w:rsidR="00713716" w:rsidRPr="00903CE4" w:rsidRDefault="00713716" w:rsidP="005521DD">
      <w:pPr>
        <w:pStyle w:val="ListParagraph"/>
        <w:numPr>
          <w:ilvl w:val="0"/>
          <w:numId w:val="35"/>
        </w:numPr>
        <w:ind w:left="2160"/>
      </w:pPr>
      <w:r w:rsidRPr="00903CE4">
        <w:t xml:space="preserve">It shall not constitute an excuse or defense </w:t>
      </w:r>
      <w:proofErr w:type="gramStart"/>
      <w:r w:rsidRPr="00903CE4">
        <w:t>to</w:t>
      </w:r>
      <w:proofErr w:type="gramEnd"/>
      <w:r w:rsidRPr="00903CE4">
        <w:t xml:space="preserve"> </w:t>
      </w:r>
      <w:r>
        <w:t>a hazing allegation</w:t>
      </w:r>
      <w:r w:rsidRPr="00903CE4">
        <w:t xml:space="preserve"> that the participants took part voluntarily, gave consent to the conduct, voluntarily assumed the risks or hardship of the activity, or that no injury was suffered or sustained. </w:t>
      </w:r>
    </w:p>
    <w:p w14:paraId="1BD30847" w14:textId="77777777" w:rsidR="00713716" w:rsidRDefault="00713716" w:rsidP="005521DD">
      <w:pPr>
        <w:pStyle w:val="ListParagraph"/>
        <w:numPr>
          <w:ilvl w:val="0"/>
          <w:numId w:val="35"/>
        </w:numPr>
        <w:ind w:left="2160"/>
      </w:pPr>
      <w:r w:rsidRPr="00903CE4">
        <w:t>The actions of alumni, active, new, and/or prospective members of a Student Group or Student Organization may be considered hazing.</w:t>
      </w:r>
    </w:p>
    <w:p w14:paraId="3743551F" w14:textId="77777777" w:rsidR="00713716" w:rsidRDefault="00713716" w:rsidP="005521DD">
      <w:pPr>
        <w:pStyle w:val="ListParagraph"/>
        <w:numPr>
          <w:ilvl w:val="0"/>
          <w:numId w:val="35"/>
        </w:numPr>
        <w:ind w:left="2160"/>
      </w:pPr>
      <w:r w:rsidRPr="00903CE4">
        <w:t>Hazing is not confined to the Student Group or Student Organization with which the individual subjected to the hazing is associated.</w:t>
      </w:r>
    </w:p>
    <w:p w14:paraId="28E77D51" w14:textId="77777777" w:rsidR="00577653" w:rsidRDefault="00577653" w:rsidP="00577653">
      <w:pPr>
        <w:ind w:left="1440"/>
      </w:pPr>
    </w:p>
    <w:p w14:paraId="027C0475" w14:textId="27EDBC33" w:rsidR="00577653" w:rsidRDefault="00577653" w:rsidP="005521DD">
      <w:pPr>
        <w:pStyle w:val="ListParagraph"/>
        <w:numPr>
          <w:ilvl w:val="0"/>
          <w:numId w:val="34"/>
        </w:numPr>
        <w:ind w:left="1440"/>
        <w:rPr>
          <w:b/>
          <w:bCs/>
        </w:rPr>
      </w:pPr>
      <w:r w:rsidRPr="00F01F27">
        <w:rPr>
          <w:b/>
          <w:bCs/>
        </w:rPr>
        <w:t>Retaliation:</w:t>
      </w:r>
    </w:p>
    <w:p w14:paraId="78BE51BE" w14:textId="7F588513" w:rsidR="00577653" w:rsidRPr="00F01F27" w:rsidRDefault="006F722C" w:rsidP="005521DD">
      <w:pPr>
        <w:pStyle w:val="ListParagraph"/>
        <w:numPr>
          <w:ilvl w:val="1"/>
          <w:numId w:val="62"/>
        </w:numPr>
        <w:rPr>
          <w:b/>
          <w:bCs/>
        </w:rPr>
      </w:pPr>
      <w:r>
        <w:t xml:space="preserve">Adverse </w:t>
      </w:r>
      <w:proofErr w:type="gramStart"/>
      <w:r>
        <w:t>action</w:t>
      </w:r>
      <w:proofErr w:type="gramEnd"/>
      <w:r>
        <w:t xml:space="preserve">, including </w:t>
      </w:r>
      <w:r w:rsidR="00577653">
        <w:t>intimidation, threats, coercion, or discrimination,</w:t>
      </w:r>
    </w:p>
    <w:p w14:paraId="5069E629" w14:textId="20A7805B" w:rsidR="00577653" w:rsidRPr="00F01F27" w:rsidRDefault="00577653" w:rsidP="005521DD">
      <w:pPr>
        <w:pStyle w:val="ListParagraph"/>
        <w:numPr>
          <w:ilvl w:val="1"/>
          <w:numId w:val="62"/>
        </w:numPr>
        <w:rPr>
          <w:b/>
          <w:bCs/>
        </w:rPr>
      </w:pPr>
      <w:r>
        <w:t xml:space="preserve">against any </w:t>
      </w:r>
      <w:r w:rsidR="00330921">
        <w:t>person</w:t>
      </w:r>
      <w:r>
        <w:t>,</w:t>
      </w:r>
    </w:p>
    <w:p w14:paraId="6298BD75" w14:textId="05C058BE" w:rsidR="00577653" w:rsidRPr="00F01F27" w:rsidRDefault="00577653" w:rsidP="005521DD">
      <w:pPr>
        <w:pStyle w:val="ListParagraph"/>
        <w:numPr>
          <w:ilvl w:val="1"/>
          <w:numId w:val="62"/>
        </w:numPr>
        <w:rPr>
          <w:b/>
          <w:bCs/>
        </w:rPr>
      </w:pPr>
      <w:r>
        <w:t xml:space="preserve">by </w:t>
      </w:r>
      <w:r w:rsidR="00330921">
        <w:t xml:space="preserve">the </w:t>
      </w:r>
      <w:r w:rsidR="00330921" w:rsidRPr="00464082">
        <w:rPr>
          <w:shd w:val="clear" w:color="auto" w:fill="D0CECE" w:themeFill="background2" w:themeFillShade="E6"/>
        </w:rPr>
        <w:t>Recipient</w:t>
      </w:r>
      <w:r w:rsidR="00330921">
        <w:t xml:space="preserve">, </w:t>
      </w:r>
      <w:r>
        <w:t>a student, employee,</w:t>
      </w:r>
      <w:r w:rsidR="00330921">
        <w:t xml:space="preserve"> </w:t>
      </w:r>
      <w:r>
        <w:t xml:space="preserve">or a person authorized by the </w:t>
      </w:r>
      <w:r w:rsidRPr="00066AC0">
        <w:rPr>
          <w:highlight w:val="lightGray"/>
        </w:rPr>
        <w:t>Recipient</w:t>
      </w:r>
      <w:r w:rsidRPr="00066AC0">
        <w:t xml:space="preserve"> </w:t>
      </w:r>
      <w:r>
        <w:t xml:space="preserve">to provide aid, benefit, or service under the </w:t>
      </w:r>
      <w:r w:rsidRPr="00944BA6">
        <w:rPr>
          <w:highlight w:val="lightGray"/>
        </w:rPr>
        <w:t>Recipient</w:t>
      </w:r>
      <w:r>
        <w:t>’s education program or activity,</w:t>
      </w:r>
    </w:p>
    <w:p w14:paraId="0BC85D9B" w14:textId="6F7B0F05" w:rsidR="00577653" w:rsidRPr="00F01F27" w:rsidRDefault="00577653" w:rsidP="005521DD">
      <w:pPr>
        <w:pStyle w:val="ListParagraph"/>
        <w:numPr>
          <w:ilvl w:val="1"/>
          <w:numId w:val="62"/>
        </w:numPr>
        <w:rPr>
          <w:b/>
          <w:bCs/>
        </w:rPr>
      </w:pPr>
      <w:r>
        <w:t xml:space="preserve">for the purpose of interfering with any right or privilege secured by law or </w:t>
      </w:r>
      <w:r w:rsidR="00D715ED">
        <w:t>P</w:t>
      </w:r>
      <w:r>
        <w:t>olicy, or</w:t>
      </w:r>
    </w:p>
    <w:p w14:paraId="1EB3768B" w14:textId="2CB691A6" w:rsidR="00577653" w:rsidRPr="00A37A46" w:rsidRDefault="00577653" w:rsidP="005521DD">
      <w:pPr>
        <w:pStyle w:val="ListParagraph"/>
        <w:numPr>
          <w:ilvl w:val="1"/>
          <w:numId w:val="62"/>
        </w:numPr>
        <w:rPr>
          <w:b/>
          <w:bCs/>
        </w:rPr>
      </w:pPr>
      <w:r>
        <w:t xml:space="preserve">because the </w:t>
      </w:r>
      <w:r w:rsidR="00330921">
        <w:t>person</w:t>
      </w:r>
      <w:r>
        <w:t xml:space="preserve"> has </w:t>
      </w:r>
      <w:r w:rsidR="006F722C">
        <w:t xml:space="preserve">engaged in protected activity, including </w:t>
      </w:r>
      <w:r w:rsidR="006D1755">
        <w:t>report</w:t>
      </w:r>
      <w:r w:rsidR="006F722C">
        <w:t>ing</w:t>
      </w:r>
      <w:r w:rsidR="006D1755">
        <w:t xml:space="preserve"> information, </w:t>
      </w:r>
      <w:r>
        <w:t>ma</w:t>
      </w:r>
      <w:r w:rsidR="006F722C">
        <w:t>king</w:t>
      </w:r>
      <w:r>
        <w:t xml:space="preserve"> a </w:t>
      </w:r>
      <w:r w:rsidR="00F240C0">
        <w:t>Complaint</w:t>
      </w:r>
      <w:r>
        <w:t>, testif</w:t>
      </w:r>
      <w:r w:rsidR="006F722C">
        <w:t>ying</w:t>
      </w:r>
      <w:r>
        <w:t>, assist</w:t>
      </w:r>
      <w:r w:rsidR="006F722C">
        <w:t>ing</w:t>
      </w:r>
      <w:r>
        <w:t>, or participat</w:t>
      </w:r>
      <w:r w:rsidR="006F722C">
        <w:t>ing</w:t>
      </w:r>
      <w:r>
        <w:t xml:space="preserve"> or refus</w:t>
      </w:r>
      <w:r w:rsidR="006F722C">
        <w:t>ing</w:t>
      </w:r>
      <w:r>
        <w:t xml:space="preserve"> to participate in any </w:t>
      </w:r>
      <w:r w:rsidR="00330921">
        <w:t xml:space="preserve">manner in an </w:t>
      </w:r>
      <w:r>
        <w:t>investigation</w:t>
      </w:r>
      <w:r w:rsidR="007C152D">
        <w:t xml:space="preserve"> or Resol</w:t>
      </w:r>
      <w:r w:rsidR="005A7429">
        <w:t xml:space="preserve">ution Process </w:t>
      </w:r>
      <w:r w:rsidR="00330921">
        <w:t xml:space="preserve">under the </w:t>
      </w:r>
      <w:r w:rsidR="00330921" w:rsidRPr="00ED3CAB">
        <w:rPr>
          <w:highlight w:val="lightGray"/>
        </w:rPr>
        <w:t>Equal Opportunity, Harassment</w:t>
      </w:r>
      <w:r w:rsidR="00BD36C3">
        <w:rPr>
          <w:highlight w:val="lightGray"/>
        </w:rPr>
        <w:t>,</w:t>
      </w:r>
      <w:r w:rsidR="00330921" w:rsidRPr="00ED3CAB">
        <w:rPr>
          <w:highlight w:val="lightGray"/>
        </w:rPr>
        <w:t xml:space="preserve"> and </w:t>
      </w:r>
      <w:proofErr w:type="spellStart"/>
      <w:r w:rsidR="00330921" w:rsidRPr="00ED3CAB">
        <w:rPr>
          <w:highlight w:val="lightGray"/>
        </w:rPr>
        <w:t>NonDiscrimination</w:t>
      </w:r>
      <w:proofErr w:type="spellEnd"/>
      <w:r w:rsidR="00330921">
        <w:t xml:space="preserve"> Procedures</w:t>
      </w:r>
      <w:r>
        <w:t>, including an Informal Resolution process, or</w:t>
      </w:r>
      <w:r w:rsidR="00A37A46">
        <w:t xml:space="preserve"> in </w:t>
      </w:r>
      <w:r w:rsidRPr="00AC6FB4">
        <w:t xml:space="preserve">any other appropriate steps taken by the </w:t>
      </w:r>
      <w:r w:rsidRPr="00A37A46">
        <w:rPr>
          <w:highlight w:val="lightGray"/>
        </w:rPr>
        <w:t>Recipient</w:t>
      </w:r>
      <w:r w:rsidRPr="00AC6FB4">
        <w:t xml:space="preserve"> </w:t>
      </w:r>
      <w:r w:rsidR="005C57E8" w:rsidRPr="00AC6FB4">
        <w:t xml:space="preserve">to </w:t>
      </w:r>
      <w:r w:rsidR="005C57E8" w:rsidRPr="00ED3CAB">
        <w:t>promptly and effectively end any sex discrimination in its education program or activity, prevent its recurrence, and remedy its effects.</w:t>
      </w:r>
    </w:p>
    <w:p w14:paraId="77C2DDBE" w14:textId="7E4B977E" w:rsidR="00485EAD" w:rsidRPr="00F539C8" w:rsidRDefault="00485EAD" w:rsidP="00F539C8">
      <w:pPr>
        <w:pStyle w:val="ListParagraph"/>
        <w:ind w:left="1800"/>
        <w:rPr>
          <w:b/>
          <w:bCs/>
        </w:rPr>
      </w:pPr>
    </w:p>
    <w:p w14:paraId="159A2A6D" w14:textId="72FE66B1" w:rsidR="00485EAD" w:rsidRDefault="00A37A46" w:rsidP="00ED3CAB">
      <w:pPr>
        <w:ind w:left="1800"/>
      </w:pPr>
      <w:r>
        <w:t>T</w:t>
      </w:r>
      <w:r w:rsidR="00485EAD">
        <w:t xml:space="preserve">he exercise of rights protected under the First Amendment does not constitute retaliation. It is also not retaliation for the </w:t>
      </w:r>
      <w:r w:rsidR="00485EAD" w:rsidRPr="00E53C3C">
        <w:rPr>
          <w:highlight w:val="lightGray"/>
        </w:rPr>
        <w:t>Recipient</w:t>
      </w:r>
      <w:r w:rsidR="00485EAD">
        <w:t xml:space="preserve"> to pursue </w:t>
      </w:r>
      <w:r w:rsidR="00D715ED">
        <w:t>P</w:t>
      </w:r>
      <w:r w:rsidR="00485EAD">
        <w:t>olicy violations against those who make materially false statement</w:t>
      </w:r>
      <w:r>
        <w:t>s</w:t>
      </w:r>
      <w:r w:rsidR="00485EAD">
        <w:t xml:space="preserve"> in bad faith </w:t>
      </w:r>
      <w:proofErr w:type="gramStart"/>
      <w:r w:rsidR="00485EAD">
        <w:t>in the course of</w:t>
      </w:r>
      <w:proofErr w:type="gramEnd"/>
      <w:r w:rsidR="00485EAD">
        <w:t xml:space="preserve"> a resolution under the </w:t>
      </w:r>
      <w:r w:rsidR="00485EAD" w:rsidRPr="00ED3CAB">
        <w:rPr>
          <w:highlight w:val="lightGray"/>
        </w:rPr>
        <w:t xml:space="preserve">Equal Opportunity, Harassment, and </w:t>
      </w:r>
      <w:proofErr w:type="spellStart"/>
      <w:r w:rsidR="00485EAD" w:rsidRPr="00ED3CAB">
        <w:rPr>
          <w:highlight w:val="lightGray"/>
        </w:rPr>
        <w:t>NonDiscrimination</w:t>
      </w:r>
      <w:proofErr w:type="spellEnd"/>
      <w:r w:rsidR="00485EAD">
        <w:t xml:space="preserve"> </w:t>
      </w:r>
      <w:r w:rsidR="004A17EC">
        <w:t>P</w:t>
      </w:r>
      <w:r w:rsidR="00485EAD">
        <w:t xml:space="preserve">olicy. </w:t>
      </w:r>
      <w:r>
        <w:t>However, t</w:t>
      </w:r>
      <w:r w:rsidR="00485EAD">
        <w:t>he determination of responsibility, by itself, is not sufficient to conclude that any party has made a materially false statement in bad faith.</w:t>
      </w:r>
    </w:p>
    <w:p w14:paraId="5A9F751F" w14:textId="77777777" w:rsidR="00B4252C" w:rsidRDefault="00B4252C" w:rsidP="00F01F27"/>
    <w:p w14:paraId="0B860181" w14:textId="4B81C674" w:rsidR="00B4252C" w:rsidRDefault="00B4252C" w:rsidP="005521DD">
      <w:pPr>
        <w:pStyle w:val="ListParagraph"/>
        <w:numPr>
          <w:ilvl w:val="0"/>
          <w:numId w:val="34"/>
        </w:numPr>
        <w:ind w:left="1440"/>
        <w:rPr>
          <w:b/>
          <w:bCs/>
        </w:rPr>
      </w:pPr>
      <w:r w:rsidRPr="00DC2CEC">
        <w:rPr>
          <w:b/>
          <w:bCs/>
        </w:rPr>
        <w:lastRenderedPageBreak/>
        <w:t>Unauthorized Disclosure</w:t>
      </w:r>
      <w:r w:rsidR="0050502A">
        <w:rPr>
          <w:b/>
          <w:bCs/>
        </w:rPr>
        <w:t>:</w:t>
      </w:r>
      <w:r w:rsidR="005C57E8" w:rsidRPr="00ED3CAB">
        <w:rPr>
          <w:rStyle w:val="FootnoteReference"/>
        </w:rPr>
        <w:footnoteReference w:id="16"/>
      </w:r>
    </w:p>
    <w:p w14:paraId="3B874404" w14:textId="06AC8E6D" w:rsidR="00B4252C" w:rsidRPr="00DC2CEC" w:rsidRDefault="00B4252C" w:rsidP="005521DD">
      <w:pPr>
        <w:pStyle w:val="ListParagraph"/>
        <w:numPr>
          <w:ilvl w:val="1"/>
          <w:numId w:val="63"/>
        </w:numPr>
        <w:rPr>
          <w:b/>
          <w:bCs/>
        </w:rPr>
      </w:pPr>
      <w:r>
        <w:t xml:space="preserve">Distributing or otherwise publicizing materials created or produced during an investigation or Resolution Process except as required by law or as expressly permitted by the </w:t>
      </w:r>
      <w:r w:rsidRPr="00AF4053">
        <w:rPr>
          <w:highlight w:val="lightGray"/>
        </w:rPr>
        <w:t>Recipient</w:t>
      </w:r>
      <w:r>
        <w:t>; or</w:t>
      </w:r>
    </w:p>
    <w:p w14:paraId="3AA55197" w14:textId="20AEE8FD" w:rsidR="00B4252C" w:rsidRPr="00ED3CAB" w:rsidRDefault="00B4252C" w:rsidP="005521DD">
      <w:pPr>
        <w:pStyle w:val="ListParagraph"/>
        <w:numPr>
          <w:ilvl w:val="1"/>
          <w:numId w:val="63"/>
        </w:numPr>
        <w:rPr>
          <w:b/>
          <w:bCs/>
        </w:rPr>
      </w:pPr>
      <w:r>
        <w:t xml:space="preserve">publicly disclosing a party’s </w:t>
      </w:r>
      <w:proofErr w:type="gramStart"/>
      <w:r>
        <w:t>personally</w:t>
      </w:r>
      <w:proofErr w:type="gramEnd"/>
      <w:r>
        <w:t xml:space="preserve"> identifiable information without authorization or consent.</w:t>
      </w:r>
    </w:p>
    <w:p w14:paraId="7949F538" w14:textId="77777777" w:rsidR="00A9188B" w:rsidRPr="00ED3CAB" w:rsidRDefault="00A9188B" w:rsidP="00ED3CAB">
      <w:pPr>
        <w:pStyle w:val="ListParagraph"/>
        <w:ind w:left="1800"/>
        <w:rPr>
          <w:b/>
          <w:bCs/>
        </w:rPr>
      </w:pPr>
    </w:p>
    <w:p w14:paraId="1AA0387A" w14:textId="5497761A" w:rsidR="0085065A" w:rsidRDefault="0085065A" w:rsidP="005521DD">
      <w:pPr>
        <w:pStyle w:val="ListParagraph"/>
        <w:numPr>
          <w:ilvl w:val="0"/>
          <w:numId w:val="34"/>
        </w:numPr>
        <w:ind w:firstLine="360"/>
        <w:rPr>
          <w:b/>
          <w:bCs/>
        </w:rPr>
      </w:pPr>
      <w:r w:rsidRPr="00ED3CAB">
        <w:rPr>
          <w:b/>
          <w:bCs/>
        </w:rPr>
        <w:t>Failure to Comply</w:t>
      </w:r>
      <w:r w:rsidR="00DF0201">
        <w:rPr>
          <w:b/>
          <w:bCs/>
        </w:rPr>
        <w:t>/Process Interference</w:t>
      </w:r>
    </w:p>
    <w:p w14:paraId="0E73BB66" w14:textId="69761F83" w:rsidR="000D33E9" w:rsidRDefault="008807A0" w:rsidP="005521DD">
      <w:pPr>
        <w:pStyle w:val="ListParagraph"/>
        <w:numPr>
          <w:ilvl w:val="0"/>
          <w:numId w:val="64"/>
        </w:numPr>
      </w:pPr>
      <w:r w:rsidRPr="000D33E9">
        <w:t xml:space="preserve">Intentional failure to comply with the reasonable directives of </w:t>
      </w:r>
      <w:r w:rsidRPr="00AF4053">
        <w:rPr>
          <w:highlight w:val="lightGray"/>
        </w:rPr>
        <w:t>Administrator</w:t>
      </w:r>
      <w:r w:rsidRPr="000D33E9">
        <w:t xml:space="preserve"> in the performance of their official duties, including with the terms of a </w:t>
      </w:r>
      <w:r w:rsidR="005D191F">
        <w:t>n</w:t>
      </w:r>
      <w:r w:rsidRPr="000D33E9">
        <w:t xml:space="preserve">o </w:t>
      </w:r>
      <w:r w:rsidR="005D191F">
        <w:t>c</w:t>
      </w:r>
      <w:r w:rsidRPr="000D33E9">
        <w:t xml:space="preserve">ontact </w:t>
      </w:r>
      <w:r w:rsidR="005D191F">
        <w:t>o</w:t>
      </w:r>
      <w:r w:rsidRPr="000D33E9">
        <w:t>rder</w:t>
      </w:r>
      <w:r w:rsidR="000D33E9">
        <w:t xml:space="preserve"> </w:t>
      </w:r>
    </w:p>
    <w:p w14:paraId="4E61E690" w14:textId="77777777" w:rsidR="000D33E9" w:rsidRDefault="008807A0" w:rsidP="005521DD">
      <w:pPr>
        <w:pStyle w:val="ListParagraph"/>
        <w:numPr>
          <w:ilvl w:val="0"/>
          <w:numId w:val="64"/>
        </w:numPr>
      </w:pPr>
      <w:r w:rsidRPr="000D33E9">
        <w:t>Intentional failure to comply with emergency removal or interim suspension terms</w:t>
      </w:r>
      <w:r w:rsidR="000D33E9">
        <w:t xml:space="preserve"> </w:t>
      </w:r>
    </w:p>
    <w:p w14:paraId="17378D70" w14:textId="77777777" w:rsidR="000D33E9" w:rsidRDefault="0037734E" w:rsidP="005521DD">
      <w:pPr>
        <w:pStyle w:val="ListParagraph"/>
        <w:numPr>
          <w:ilvl w:val="0"/>
          <w:numId w:val="64"/>
        </w:numPr>
      </w:pPr>
      <w:r w:rsidRPr="000D33E9">
        <w:t>Intentional failure to comply with sanctions</w:t>
      </w:r>
      <w:r w:rsidR="000D33E9">
        <w:t xml:space="preserve"> </w:t>
      </w:r>
    </w:p>
    <w:p w14:paraId="1A78E3DB" w14:textId="77777777" w:rsidR="000D33E9" w:rsidRDefault="0037734E" w:rsidP="005521DD">
      <w:pPr>
        <w:pStyle w:val="ListParagraph"/>
        <w:numPr>
          <w:ilvl w:val="0"/>
          <w:numId w:val="64"/>
        </w:numPr>
      </w:pPr>
      <w:r w:rsidRPr="000D33E9">
        <w:t>Intentional failure to adhere to the terms of an agreement achieved through informal resolution</w:t>
      </w:r>
      <w:r w:rsidR="000D33E9">
        <w:t xml:space="preserve"> </w:t>
      </w:r>
    </w:p>
    <w:p w14:paraId="56EF267C" w14:textId="77777777" w:rsidR="00E91613" w:rsidRDefault="0037734E" w:rsidP="005521DD">
      <w:pPr>
        <w:pStyle w:val="ListParagraph"/>
        <w:numPr>
          <w:ilvl w:val="0"/>
          <w:numId w:val="64"/>
        </w:numPr>
      </w:pPr>
      <w:r w:rsidRPr="000D33E9">
        <w:t>Intentional failure to comply with mandated reporting duties as defined in this Policy</w:t>
      </w:r>
      <w:r w:rsidR="00E91613">
        <w:t xml:space="preserve"> </w:t>
      </w:r>
    </w:p>
    <w:p w14:paraId="36FD2A27" w14:textId="77777777" w:rsidR="00E91613" w:rsidRDefault="0037734E" w:rsidP="005521DD">
      <w:pPr>
        <w:pStyle w:val="ListParagraph"/>
        <w:numPr>
          <w:ilvl w:val="0"/>
          <w:numId w:val="64"/>
        </w:numPr>
      </w:pPr>
      <w:r w:rsidRPr="000D33E9">
        <w:t>Intentional interference with the Title IX resolution process, including but not limited to:</w:t>
      </w:r>
      <w:r w:rsidR="00E91613">
        <w:t xml:space="preserve"> </w:t>
      </w:r>
    </w:p>
    <w:p w14:paraId="55251BFB" w14:textId="77777777" w:rsidR="00E91613" w:rsidRDefault="0037734E" w:rsidP="005521DD">
      <w:pPr>
        <w:pStyle w:val="ListParagraph"/>
        <w:numPr>
          <w:ilvl w:val="1"/>
          <w:numId w:val="64"/>
        </w:numPr>
      </w:pPr>
      <w:r w:rsidRPr="000D33E9">
        <w:t>Destruction of or concealing of evidence</w:t>
      </w:r>
    </w:p>
    <w:p w14:paraId="5E2A271D" w14:textId="77777777" w:rsidR="00E91613" w:rsidRDefault="0037734E" w:rsidP="005521DD">
      <w:pPr>
        <w:pStyle w:val="ListParagraph"/>
        <w:numPr>
          <w:ilvl w:val="1"/>
          <w:numId w:val="64"/>
        </w:numPr>
      </w:pPr>
      <w:r w:rsidRPr="000D33E9">
        <w:t>Actual or attempted solicitation of knowingly false testimony or providing false testimony or evidence</w:t>
      </w:r>
      <w:r w:rsidR="00E91613">
        <w:t xml:space="preserve"> </w:t>
      </w:r>
    </w:p>
    <w:p w14:paraId="240CF7B0" w14:textId="5CAC6EF9" w:rsidR="0037734E" w:rsidRPr="000D33E9" w:rsidRDefault="0037734E" w:rsidP="005521DD">
      <w:pPr>
        <w:pStyle w:val="ListParagraph"/>
        <w:numPr>
          <w:ilvl w:val="1"/>
          <w:numId w:val="64"/>
        </w:numPr>
      </w:pPr>
      <w:r w:rsidRPr="000D33E9">
        <w:t>Intimidating or bribing a witness or party</w:t>
      </w:r>
    </w:p>
    <w:p w14:paraId="2C199264" w14:textId="0B076D1E" w:rsidR="0037734E" w:rsidRPr="00AF4053" w:rsidRDefault="0037734E" w:rsidP="00AF4053">
      <w:pPr>
        <w:ind w:firstLine="60"/>
      </w:pPr>
    </w:p>
    <w:p w14:paraId="18F150F2" w14:textId="7387DFD6" w:rsidR="00DA1AFF" w:rsidRDefault="00DA1AFF" w:rsidP="00ED3CAB">
      <w:r>
        <w:t>Sanctions for the above-listed Civil Rights Offenses range from warning through expulsion/termination.</w:t>
      </w:r>
    </w:p>
    <w:p w14:paraId="25D93807" w14:textId="7CCB2397" w:rsidR="00C76D0B" w:rsidRDefault="00C76D0B" w:rsidP="00B4252C">
      <w:pPr>
        <w:rPr>
          <w:highlight w:val="lightGray"/>
        </w:rPr>
      </w:pPr>
    </w:p>
    <w:p w14:paraId="0B98A021" w14:textId="4CA71D2B" w:rsidR="009E69A4" w:rsidRDefault="00F73B98" w:rsidP="009E69A4">
      <w:pPr>
        <w:pStyle w:val="Heading2"/>
      </w:pPr>
      <w:bookmarkStart w:id="34" w:name="_Toc168477508"/>
      <w:r>
        <w:t>Consent</w:t>
      </w:r>
      <w:r w:rsidR="00CD775B">
        <w:t xml:space="preserve">, </w:t>
      </w:r>
      <w:r w:rsidR="009E69A4">
        <w:t>Force</w:t>
      </w:r>
      <w:r>
        <w:t xml:space="preserve">, </w:t>
      </w:r>
      <w:r w:rsidR="009E69A4">
        <w:t>and Incapacitation</w:t>
      </w:r>
      <w:bookmarkEnd w:id="34"/>
    </w:p>
    <w:p w14:paraId="7943BCEB" w14:textId="77777777" w:rsidR="009E69A4" w:rsidRDefault="009E69A4" w:rsidP="009E69A4"/>
    <w:p w14:paraId="36B386A5" w14:textId="54065636" w:rsidR="009E69A4" w:rsidRDefault="009E69A4" w:rsidP="007B3A46">
      <w:pPr>
        <w:ind w:left="720" w:firstLine="360"/>
      </w:pPr>
      <w:r>
        <w:t xml:space="preserve">As used in </w:t>
      </w:r>
      <w:r w:rsidR="00F73B98">
        <w:t>this Policy</w:t>
      </w:r>
      <w:r>
        <w:t>, the following definitions and understandings apply:</w:t>
      </w:r>
    </w:p>
    <w:p w14:paraId="20414AC6" w14:textId="77777777" w:rsidR="009E69A4" w:rsidRDefault="009E69A4" w:rsidP="00F539C8"/>
    <w:p w14:paraId="7C5C9207" w14:textId="77777777" w:rsidR="00FD5E2C" w:rsidRDefault="009E69A4" w:rsidP="005521DD">
      <w:pPr>
        <w:pStyle w:val="ListParagraph"/>
        <w:numPr>
          <w:ilvl w:val="0"/>
          <w:numId w:val="41"/>
        </w:numPr>
        <w:ind w:left="1440"/>
      </w:pPr>
      <w:r w:rsidRPr="00F539C8">
        <w:rPr>
          <w:b/>
          <w:bCs/>
        </w:rPr>
        <w:t>Consent</w:t>
      </w:r>
    </w:p>
    <w:p w14:paraId="3DF05996" w14:textId="33EC7463" w:rsidR="009E69A4" w:rsidRDefault="00FD5E2C" w:rsidP="00F539C8">
      <w:pPr>
        <w:pStyle w:val="ListParagraph"/>
        <w:ind w:left="1440"/>
      </w:pPr>
      <w:r>
        <w:t>Consent is defined as</w:t>
      </w:r>
      <w:r w:rsidR="009E69A4">
        <w:t xml:space="preserve">: </w:t>
      </w:r>
    </w:p>
    <w:p w14:paraId="48A99AF2" w14:textId="77777777" w:rsidR="009E69A4" w:rsidRDefault="009E69A4" w:rsidP="005521DD">
      <w:pPr>
        <w:pStyle w:val="ListParagraph"/>
        <w:numPr>
          <w:ilvl w:val="0"/>
          <w:numId w:val="10"/>
        </w:numPr>
        <w:ind w:left="2160"/>
      </w:pPr>
      <w:r>
        <w:t>knowing, and</w:t>
      </w:r>
    </w:p>
    <w:p w14:paraId="2DAA0C62" w14:textId="77777777" w:rsidR="009E69A4" w:rsidRDefault="009E69A4" w:rsidP="005521DD">
      <w:pPr>
        <w:pStyle w:val="ListParagraph"/>
        <w:numPr>
          <w:ilvl w:val="0"/>
          <w:numId w:val="10"/>
        </w:numPr>
        <w:ind w:left="2160"/>
      </w:pPr>
      <w:r>
        <w:t>voluntary, and</w:t>
      </w:r>
    </w:p>
    <w:p w14:paraId="6FA9D69A" w14:textId="77777777" w:rsidR="009E69A4" w:rsidRDefault="009E69A4" w:rsidP="005521DD">
      <w:pPr>
        <w:pStyle w:val="ListParagraph"/>
        <w:numPr>
          <w:ilvl w:val="0"/>
          <w:numId w:val="10"/>
        </w:numPr>
        <w:ind w:left="2160"/>
      </w:pPr>
      <w:r>
        <w:t xml:space="preserve">clear permission </w:t>
      </w:r>
    </w:p>
    <w:p w14:paraId="619ACB54" w14:textId="77777777" w:rsidR="009E69A4" w:rsidRDefault="009E69A4" w:rsidP="005521DD">
      <w:pPr>
        <w:pStyle w:val="ListParagraph"/>
        <w:numPr>
          <w:ilvl w:val="0"/>
          <w:numId w:val="10"/>
        </w:numPr>
        <w:ind w:left="2160"/>
      </w:pPr>
      <w:r>
        <w:t xml:space="preserve">by word or action </w:t>
      </w:r>
    </w:p>
    <w:p w14:paraId="0A773940" w14:textId="45AB6F4E" w:rsidR="009E69A4" w:rsidRDefault="009E69A4" w:rsidP="005521DD">
      <w:pPr>
        <w:pStyle w:val="ListParagraph"/>
        <w:numPr>
          <w:ilvl w:val="0"/>
          <w:numId w:val="10"/>
        </w:numPr>
        <w:ind w:left="2160"/>
      </w:pPr>
      <w:r>
        <w:lastRenderedPageBreak/>
        <w:t>to engage in sexual activity.</w:t>
      </w:r>
      <w:r w:rsidR="00F73B98" w:rsidRPr="002671E6">
        <w:rPr>
          <w:rStyle w:val="FootnoteReference"/>
        </w:rPr>
        <w:footnoteReference w:id="17"/>
      </w:r>
      <w:r>
        <w:t xml:space="preserve"> </w:t>
      </w:r>
    </w:p>
    <w:p w14:paraId="737B520C" w14:textId="77777777" w:rsidR="00FD5E2C" w:rsidRDefault="00FD5E2C" w:rsidP="009E69A4">
      <w:pPr>
        <w:ind w:left="720"/>
      </w:pPr>
    </w:p>
    <w:p w14:paraId="039283E5" w14:textId="423DD323" w:rsidR="009E69A4" w:rsidRDefault="00D11A8C" w:rsidP="00F539C8">
      <w:pPr>
        <w:ind w:left="1440"/>
      </w:pPr>
      <w:r>
        <w:t>I</w:t>
      </w:r>
      <w:r w:rsidR="009E69A4">
        <w:t xml:space="preserve">ndividuals may perceive and experience the same interaction in different ways. Therefore, it is the responsibility of each party to determine that the other has consented before engaging in the activity. </w:t>
      </w:r>
    </w:p>
    <w:p w14:paraId="26DA9B25" w14:textId="77777777" w:rsidR="009E69A4" w:rsidRDefault="009E69A4" w:rsidP="00F539C8">
      <w:pPr>
        <w:ind w:left="1440"/>
      </w:pPr>
    </w:p>
    <w:p w14:paraId="2B7EA1B3" w14:textId="77777777" w:rsidR="009E69A4" w:rsidRDefault="009E69A4" w:rsidP="00F539C8">
      <w:pPr>
        <w:ind w:left="1440"/>
      </w:pPr>
      <w:r>
        <w:t>If consent is not clearly provided prior to engaging in the activity, consent may be ratified by word or action at some point during the interaction or thereafter, but clear communication from the outset is strongly encouraged.</w:t>
      </w:r>
    </w:p>
    <w:p w14:paraId="340E1FE7" w14:textId="77777777" w:rsidR="009E69A4" w:rsidRDefault="009E69A4" w:rsidP="00F539C8">
      <w:pPr>
        <w:ind w:left="1440"/>
      </w:pPr>
    </w:p>
    <w:p w14:paraId="1CEAAC86" w14:textId="75393FAC" w:rsidR="009E69A4" w:rsidRDefault="009E69A4" w:rsidP="00F539C8">
      <w:pPr>
        <w:ind w:left="1440"/>
      </w:pPr>
      <w:r>
        <w:t xml:space="preserve">For consent to be valid, there must be a clear expression in words or actions that the other individual consented to that specific sexual conduct. </w:t>
      </w:r>
      <w:r w:rsidR="008E7C4F">
        <w:t xml:space="preserve">Consent is evaluated from the perspective of what a reasonable person would conclude are mutually understandable words or actions. </w:t>
      </w:r>
      <w:r>
        <w:t xml:space="preserve">Reasonable reciprocation can </w:t>
      </w:r>
      <w:r w:rsidR="008E7C4F">
        <w:t>establish</w:t>
      </w:r>
      <w:r>
        <w:t xml:space="preserve"> consent. For example, if someone kisses you, you can kiss them back (if you want to) without the need to explicitly obtain </w:t>
      </w:r>
      <w:r w:rsidRPr="008E0C57">
        <w:rPr>
          <w:i/>
          <w:iCs/>
        </w:rPr>
        <w:t>their</w:t>
      </w:r>
      <w:r>
        <w:t xml:space="preserve"> consent to be kissed back. </w:t>
      </w:r>
    </w:p>
    <w:p w14:paraId="71E94EB8" w14:textId="77777777" w:rsidR="009E69A4" w:rsidRDefault="009E69A4" w:rsidP="00F539C8">
      <w:pPr>
        <w:ind w:left="1440"/>
      </w:pPr>
    </w:p>
    <w:p w14:paraId="1E7DD1F8" w14:textId="7F4F16A4" w:rsidR="009E69A4" w:rsidRDefault="009E69A4" w:rsidP="00F539C8">
      <w:pPr>
        <w:ind w:left="1440"/>
      </w:pPr>
      <w:r>
        <w:t xml:space="preserve">Consent can also be withdrawn once given, </w:t>
      </w:r>
      <w:proofErr w:type="gramStart"/>
      <w:r>
        <w:t>as long as</w:t>
      </w:r>
      <w:proofErr w:type="gramEnd"/>
      <w:r>
        <w:t xml:space="preserve"> the withdrawal is </w:t>
      </w:r>
      <w:proofErr w:type="gramStart"/>
      <w:r>
        <w:t>reasonably</w:t>
      </w:r>
      <w:proofErr w:type="gramEnd"/>
      <w:r>
        <w:t xml:space="preserve"> and clearly communicated. If consent is withdrawn, sexual activity should cease within a reasonably immediate time. </w:t>
      </w:r>
    </w:p>
    <w:p w14:paraId="5BECEAF0" w14:textId="77777777" w:rsidR="009E69A4" w:rsidRDefault="009E69A4" w:rsidP="00F539C8">
      <w:pPr>
        <w:ind w:left="1440"/>
      </w:pPr>
    </w:p>
    <w:p w14:paraId="4479F742" w14:textId="182492D5" w:rsidR="00C53A83" w:rsidRDefault="00C53A83" w:rsidP="00F539C8">
      <w:pPr>
        <w:ind w:left="1440"/>
      </w:pPr>
      <w:r>
        <w:t xml:space="preserve">Silence or the absence of resistance alone </w:t>
      </w:r>
      <w:r w:rsidR="00291A48">
        <w:t>should not be interpreted as</w:t>
      </w:r>
      <w:r>
        <w:t xml:space="preserve"> consent. Consent is not demonstrated by the absence of resistance. While resistance is not required or necessary, it is a clear demonstration of non-consent.</w:t>
      </w:r>
    </w:p>
    <w:p w14:paraId="33B1DB4D" w14:textId="77777777" w:rsidR="00C53A83" w:rsidRDefault="00C53A83" w:rsidP="00F539C8">
      <w:pPr>
        <w:ind w:left="1440"/>
      </w:pPr>
    </w:p>
    <w:p w14:paraId="2AFDDCD8" w14:textId="4E21B598" w:rsidR="009E69A4" w:rsidRDefault="009E69A4" w:rsidP="00F539C8">
      <w:pPr>
        <w:ind w:left="1440"/>
      </w:pPr>
      <w:r>
        <w:t xml:space="preserve">Consent to some sexual contact (such as kissing or fondling) cannot be </w:t>
      </w:r>
      <w:r w:rsidR="00291A48">
        <w:t xml:space="preserve">assumed </w:t>
      </w:r>
      <w:r>
        <w:t>to be consent for other sexual activity (such as intercourse). A current or previous intimate relationship is not sufficient to constitute consent. If an individual expresses conditions on their willingness to consent (e.g., use of a condom) or limitations on the scope of their consent, those conditions and limitations must be respected.</w:t>
      </w:r>
      <w:r w:rsidR="009618AE">
        <w:t xml:space="preserve"> If a </w:t>
      </w:r>
      <w:r w:rsidR="0010668A">
        <w:t xml:space="preserve">sexual </w:t>
      </w:r>
      <w:r w:rsidR="009618AE">
        <w:t xml:space="preserve">partner shares the clear expectation for the use of a condom, or to avoid internal ejaculation, and those expectations are not honored, </w:t>
      </w:r>
      <w:r w:rsidR="0010668A">
        <w:t xml:space="preserve">the </w:t>
      </w:r>
      <w:r w:rsidR="009618AE">
        <w:t>failure to use a condom, removing a condom, or internal ejaculation can be considered acts of sexual assault.</w:t>
      </w:r>
    </w:p>
    <w:p w14:paraId="680E1445" w14:textId="77777777" w:rsidR="009E69A4" w:rsidRDefault="009E69A4" w:rsidP="00F539C8">
      <w:pPr>
        <w:ind w:left="1440"/>
      </w:pPr>
    </w:p>
    <w:p w14:paraId="6CD1DD4C" w14:textId="49EEE26C" w:rsidR="009E69A4" w:rsidRDefault="009E69A4" w:rsidP="0043170C">
      <w:pPr>
        <w:ind w:left="1440"/>
      </w:pPr>
      <w:r>
        <w:t xml:space="preserve">Proof of consent or non-consent is not a burden placed on either party involved in a </w:t>
      </w:r>
      <w:r w:rsidR="00F240C0">
        <w:t>Complaint</w:t>
      </w:r>
      <w:r>
        <w:t xml:space="preserve">. Instead, the burden remains on the </w:t>
      </w:r>
      <w:r w:rsidRPr="008E0C57">
        <w:rPr>
          <w:highlight w:val="lightGray"/>
        </w:rPr>
        <w:t>Recipient</w:t>
      </w:r>
      <w:r>
        <w:t xml:space="preserve"> to determine whether its </w:t>
      </w:r>
      <w:r w:rsidR="004A17EC">
        <w:t>P</w:t>
      </w:r>
      <w:r>
        <w:t xml:space="preserve">olicy has been violated. The existence of consent is based on the totality of the circumstances evaluated from the perspective of a reasonable </w:t>
      </w:r>
      <w:r>
        <w:lastRenderedPageBreak/>
        <w:t xml:space="preserve">person in the same or similar circumstances, including the context in which the alleged misconduct occurred and any similar and previous patterns that may be evidenced. </w:t>
      </w:r>
    </w:p>
    <w:p w14:paraId="34FF2416" w14:textId="3F4DA7E5" w:rsidR="00FE02C9" w:rsidRDefault="00FE02C9" w:rsidP="00F539C8">
      <w:pPr>
        <w:ind w:left="1440"/>
      </w:pPr>
    </w:p>
    <w:p w14:paraId="536A932C" w14:textId="03C5584D" w:rsidR="009E69A4" w:rsidRDefault="00FE02C9" w:rsidP="00ED3CAB">
      <w:pPr>
        <w:ind w:left="1440"/>
      </w:pPr>
      <w:r>
        <w:t>Going beyond the boundaries of consent is prohibited. Thus, unless a sexual partner has consented to slapping, hitting, hair pulling, strangulation, or other physical roughness during otherwise consensual sex, those acts may constitute dating violence or sexual assault.</w:t>
      </w:r>
      <w:r w:rsidR="00AA04E2">
        <w:rPr>
          <w:rStyle w:val="FootnoteReference"/>
        </w:rPr>
        <w:footnoteReference w:id="18"/>
      </w:r>
    </w:p>
    <w:p w14:paraId="184D1E7F" w14:textId="77777777" w:rsidR="00CD775B" w:rsidRPr="00F539C8" w:rsidRDefault="00CD775B" w:rsidP="00F539C8">
      <w:pPr>
        <w:pStyle w:val="ListParagraph"/>
        <w:ind w:left="1440"/>
      </w:pPr>
    </w:p>
    <w:p w14:paraId="62B85846" w14:textId="7F6672C0" w:rsidR="00FD5E2C" w:rsidRDefault="00F73B98" w:rsidP="005521DD">
      <w:pPr>
        <w:pStyle w:val="ListParagraph"/>
        <w:numPr>
          <w:ilvl w:val="0"/>
          <w:numId w:val="41"/>
        </w:numPr>
        <w:ind w:left="1440"/>
      </w:pPr>
      <w:r w:rsidRPr="00FD5E2C">
        <w:rPr>
          <w:b/>
          <w:bCs/>
        </w:rPr>
        <w:t>Force</w:t>
      </w:r>
    </w:p>
    <w:p w14:paraId="12413908" w14:textId="77777777" w:rsidR="00866D56" w:rsidRDefault="00F73B98" w:rsidP="00866D56">
      <w:pPr>
        <w:pStyle w:val="ListParagraph"/>
        <w:ind w:left="1440"/>
      </w:pPr>
      <w:r>
        <w:t xml:space="preserve">Force is the use of physical violence and/or physical imposition to gain sexual access. </w:t>
      </w:r>
      <w:r w:rsidR="00866D56">
        <w:t>Sexual activity that is forced is, by definition, non-consensual, but non-consensual sexual activity is not necessarily forced. Force is conduct that, if sufficiently severe, can negate consent.</w:t>
      </w:r>
    </w:p>
    <w:p w14:paraId="0D7A9D47" w14:textId="77777777" w:rsidR="00866D56" w:rsidRDefault="00866D56" w:rsidP="00F539C8">
      <w:pPr>
        <w:pStyle w:val="ListParagraph"/>
        <w:ind w:left="1440"/>
      </w:pPr>
    </w:p>
    <w:p w14:paraId="28D3C1DF" w14:textId="2FF861C6" w:rsidR="00F73B98" w:rsidRDefault="00F73B98" w:rsidP="00ED3CAB">
      <w:pPr>
        <w:pStyle w:val="ListParagraph"/>
        <w:ind w:left="1440"/>
      </w:pPr>
      <w:r>
        <w:t xml:space="preserve">Force also includes threats, intimidation (implied threats), and coercion that is intended to overcome resistance or produce consent (e.g., “Have sex with me or I’ll hit you,” which elicits the response, “Okay, don’t hit me. I’ll do what you want.”). </w:t>
      </w:r>
    </w:p>
    <w:p w14:paraId="504A7EC8" w14:textId="66CBC1DE" w:rsidR="00B47B24" w:rsidRDefault="00B47B24" w:rsidP="00B47B24">
      <w:pPr>
        <w:pStyle w:val="ListParagraph"/>
        <w:ind w:left="1080"/>
      </w:pPr>
    </w:p>
    <w:p w14:paraId="5EC13EDC" w14:textId="687FE4AE" w:rsidR="00F73B98" w:rsidRDefault="00B47B24" w:rsidP="00ED3CAB">
      <w:pPr>
        <w:pStyle w:val="ListParagraph"/>
        <w:ind w:left="1440"/>
      </w:pPr>
      <w:r>
        <w:t xml:space="preserve">Coercion is unreasonable pressure for sexual activity. Coercive conduct, if sufficiently severe, can render a person’s consent ineffective, because it is not voluntary. When someone makes clear that they do not want to engage in sexual activity, that they want to stop, or that they do not want to go past a certain point of sexual interaction, continued pressure beyond that point can be coercive. Coercion is evaluated based on the frequency, intensity, isolation, and duration of the pressure involved. </w:t>
      </w:r>
    </w:p>
    <w:p w14:paraId="00F9044C" w14:textId="77777777" w:rsidR="00F73B98" w:rsidRDefault="00F73B98" w:rsidP="00F539C8">
      <w:pPr>
        <w:ind w:left="1440"/>
        <w:rPr>
          <w:b/>
          <w:bCs/>
        </w:rPr>
      </w:pPr>
    </w:p>
    <w:p w14:paraId="679CF2DA" w14:textId="77777777" w:rsidR="00CD775B" w:rsidRDefault="009E69A4" w:rsidP="005521DD">
      <w:pPr>
        <w:pStyle w:val="ListParagraph"/>
        <w:numPr>
          <w:ilvl w:val="0"/>
          <w:numId w:val="41"/>
        </w:numPr>
        <w:ind w:left="1440"/>
      </w:pPr>
      <w:r w:rsidRPr="00FD5E2C">
        <w:rPr>
          <w:b/>
          <w:bCs/>
        </w:rPr>
        <w:t>Incapacitation</w:t>
      </w:r>
    </w:p>
    <w:p w14:paraId="22E9484A" w14:textId="7949F3DC" w:rsidR="00CD775B" w:rsidRDefault="00CD775B" w:rsidP="00F539C8">
      <w:pPr>
        <w:pStyle w:val="ListParagraph"/>
        <w:ind w:left="1440"/>
      </w:pPr>
      <w:r>
        <w:t xml:space="preserve">Incapacitation is a state where a person is incapable of giving consent. An incapacitated person cannot make rational, reasonable decisions because they lack the capacity to give knowing/informed consent (e.g., to understand the “who, what, when, where, why, and how” of their sexual interaction). </w:t>
      </w:r>
      <w:r w:rsidR="009E69A4">
        <w:t xml:space="preserve">A person cannot consent if they are unable to understand what is happening or are disoriented, helpless, asleep, or unconscious for any reason, including </w:t>
      </w:r>
      <w:r w:rsidR="00930B07">
        <w:t>because of</w:t>
      </w:r>
      <w:r w:rsidR="009E69A4">
        <w:t xml:space="preserve"> alcohol or other drug consumption. </w:t>
      </w:r>
    </w:p>
    <w:p w14:paraId="1A1F1C1B" w14:textId="77777777" w:rsidR="00DE3161" w:rsidRDefault="00DE3161" w:rsidP="00F539C8">
      <w:pPr>
        <w:pStyle w:val="ListParagraph"/>
        <w:ind w:left="1440"/>
      </w:pPr>
    </w:p>
    <w:p w14:paraId="0326A04A" w14:textId="77777777" w:rsidR="00DE3161" w:rsidRDefault="00DE3161" w:rsidP="00F539C8">
      <w:pPr>
        <w:ind w:left="1440"/>
      </w:pPr>
      <w:r>
        <w:t xml:space="preserve">This Policy also covers a person whose incapacity results from </w:t>
      </w:r>
      <w:proofErr w:type="gramStart"/>
      <w:r>
        <w:t>a temporary</w:t>
      </w:r>
      <w:proofErr w:type="gramEnd"/>
      <w:r>
        <w:t xml:space="preserve"> or permanent physical or mental health condition, involuntary physical restraint, and/or the consumption of incapacitating substances.</w:t>
      </w:r>
    </w:p>
    <w:p w14:paraId="2A6BC0D8" w14:textId="77777777" w:rsidR="00CD775B" w:rsidRDefault="00CD775B" w:rsidP="00F539C8">
      <w:pPr>
        <w:ind w:left="1440"/>
      </w:pPr>
    </w:p>
    <w:p w14:paraId="65B9938A" w14:textId="251D2F04" w:rsidR="00CD775B" w:rsidRDefault="00CD775B" w:rsidP="00F539C8">
      <w:pPr>
        <w:ind w:left="1440"/>
      </w:pPr>
      <w:r>
        <w:t xml:space="preserve">Incapacitation is determined through consideration of all relevant indicators of a </w:t>
      </w:r>
      <w:r w:rsidR="00DE3161">
        <w:t>person</w:t>
      </w:r>
      <w:r>
        <w:t>’s state and is not synonymous with intoxication, impairment, blackout, and/or being drunk</w:t>
      </w:r>
      <w:r w:rsidR="00DE3161">
        <w:t xml:space="preserve">. </w:t>
      </w:r>
    </w:p>
    <w:p w14:paraId="31F9DD00" w14:textId="77777777" w:rsidR="009E69A4" w:rsidRDefault="009E69A4" w:rsidP="00F539C8">
      <w:pPr>
        <w:ind w:left="1440"/>
      </w:pPr>
    </w:p>
    <w:p w14:paraId="6F6843A5" w14:textId="41B16E1B" w:rsidR="009E69A4" w:rsidRDefault="00DE3161" w:rsidP="00F539C8">
      <w:pPr>
        <w:ind w:left="1440"/>
      </w:pPr>
      <w:r>
        <w:t>If the</w:t>
      </w:r>
      <w:r w:rsidR="009E69A4">
        <w:t xml:space="preserve"> Respondent neither knew nor should have known the Complainant to be physically or mentally incapacitated</w:t>
      </w:r>
      <w:r>
        <w:t xml:space="preserve">, the Respondent is not in violation of this </w:t>
      </w:r>
      <w:r w:rsidR="004A17EC">
        <w:t>P</w:t>
      </w:r>
      <w:r>
        <w:t>olicy</w:t>
      </w:r>
      <w:r w:rsidR="009E69A4">
        <w:t xml:space="preserve">. “Should have known” is an objective, reasonable person standard that assumes that a reasonable person is both sober and exercising sound judgment. </w:t>
      </w:r>
      <w:r w:rsidR="00F766D9">
        <w:br/>
      </w:r>
    </w:p>
    <w:p w14:paraId="27CB758B" w14:textId="228558C4" w:rsidR="009E69A4" w:rsidRPr="005D191F" w:rsidRDefault="009E69A4" w:rsidP="009E69A4">
      <w:pPr>
        <w:pStyle w:val="Heading2"/>
        <w:rPr>
          <w:highlight w:val="lightGray"/>
        </w:rPr>
      </w:pPr>
      <w:bookmarkStart w:id="35" w:name="_Toc168477509"/>
      <w:r w:rsidRPr="00F45E05">
        <w:rPr>
          <w:highlight w:val="lightGray"/>
        </w:rPr>
        <w:t xml:space="preserve">Unethical </w:t>
      </w:r>
      <w:r w:rsidRPr="005D191F">
        <w:rPr>
          <w:highlight w:val="lightGray"/>
        </w:rPr>
        <w:t>Relationships</w:t>
      </w:r>
      <w:r w:rsidRPr="00901191">
        <w:t xml:space="preserve"> </w:t>
      </w:r>
      <w:hyperlink w:anchor="_APPENDIX_F:_UNETHICAL" w:history="1">
        <w:r w:rsidR="00901191" w:rsidRPr="00901191">
          <w:rPr>
            <w:rStyle w:val="Hyperlink"/>
          </w:rPr>
          <w:t>(</w:t>
        </w:r>
        <w:r w:rsidRPr="00901191">
          <w:rPr>
            <w:rStyle w:val="Hyperlink"/>
          </w:rPr>
          <w:t xml:space="preserve">See </w:t>
        </w:r>
        <w:r w:rsidR="005D54ED" w:rsidRPr="00901191">
          <w:rPr>
            <w:rStyle w:val="Hyperlink"/>
          </w:rPr>
          <w:t xml:space="preserve">Appendix </w:t>
        </w:r>
        <w:r w:rsidR="005D191F" w:rsidRPr="00901191">
          <w:rPr>
            <w:rStyle w:val="Hyperlink"/>
          </w:rPr>
          <w:t>F</w:t>
        </w:r>
        <w:r w:rsidR="00901191" w:rsidRPr="00901191">
          <w:rPr>
            <w:rStyle w:val="Hyperlink"/>
          </w:rPr>
          <w:t>)</w:t>
        </w:r>
        <w:bookmarkEnd w:id="35"/>
      </w:hyperlink>
      <w:r w:rsidR="00F766D9">
        <w:rPr>
          <w:highlight w:val="lightGray"/>
        </w:rPr>
        <w:br/>
      </w:r>
    </w:p>
    <w:p w14:paraId="382232A1" w14:textId="18E90520" w:rsidR="00C53A83" w:rsidRDefault="00C53A83" w:rsidP="00021C70">
      <w:pPr>
        <w:pStyle w:val="Heading1"/>
      </w:pPr>
      <w:bookmarkStart w:id="36" w:name="_Toc168477510"/>
      <w:r>
        <w:t>Standard of Proof</w:t>
      </w:r>
      <w:bookmarkEnd w:id="36"/>
    </w:p>
    <w:p w14:paraId="571C4925" w14:textId="77777777" w:rsidR="00C53A83" w:rsidRDefault="00C53A83" w:rsidP="00C53A83"/>
    <w:p w14:paraId="2BF0524B" w14:textId="39784E36" w:rsidR="007D3743" w:rsidRPr="00C53A83" w:rsidRDefault="00C53A83" w:rsidP="00C53A83">
      <w:r w:rsidRPr="00235571">
        <w:t xml:space="preserve">The </w:t>
      </w:r>
      <w:r w:rsidRPr="00A075B0">
        <w:rPr>
          <w:highlight w:val="lightGray"/>
        </w:rPr>
        <w:t>Recipient</w:t>
      </w:r>
      <w:r>
        <w:t xml:space="preserve"> </w:t>
      </w:r>
      <w:r w:rsidRPr="00235571">
        <w:t>use</w:t>
      </w:r>
      <w:r>
        <w:t xml:space="preserve">s the </w:t>
      </w:r>
      <w:r w:rsidRPr="00A075B0">
        <w:rPr>
          <w:highlight w:val="lightGray"/>
        </w:rPr>
        <w:t>[preponderance of the evidence</w:t>
      </w:r>
      <w:r w:rsidR="00482FDF">
        <w:rPr>
          <w:highlight w:val="lightGray"/>
        </w:rPr>
        <w:t xml:space="preserve"> or clear and convincing evidence</w:t>
      </w:r>
      <w:r w:rsidRPr="00A075B0">
        <w:rPr>
          <w:highlight w:val="lightGray"/>
        </w:rPr>
        <w:t>]</w:t>
      </w:r>
      <w:r>
        <w:t xml:space="preserve"> standard of proof</w:t>
      </w:r>
      <w:r w:rsidRPr="00235571">
        <w:t xml:space="preserve"> when </w:t>
      </w:r>
      <w:r>
        <w:t xml:space="preserve">determining whether a </w:t>
      </w:r>
      <w:r w:rsidR="004A17EC">
        <w:t>P</w:t>
      </w:r>
      <w:r>
        <w:t>olicy violation occurred</w:t>
      </w:r>
      <w:r w:rsidRPr="00235571">
        <w:t xml:space="preserve">. This means that the </w:t>
      </w:r>
      <w:r w:rsidRPr="008E21C5">
        <w:rPr>
          <w:highlight w:val="lightGray"/>
        </w:rPr>
        <w:t>Recipient</w:t>
      </w:r>
      <w:r w:rsidRPr="00235571">
        <w:t xml:space="preserve"> will decide whether it is </w:t>
      </w:r>
      <w:r w:rsidRPr="008E21C5">
        <w:rPr>
          <w:highlight w:val="lightGray"/>
        </w:rPr>
        <w:t>[more likely than not</w:t>
      </w:r>
      <w:r w:rsidR="00F849E1">
        <w:rPr>
          <w:highlight w:val="lightGray"/>
        </w:rPr>
        <w:t>/</w:t>
      </w:r>
      <w:r w:rsidR="00464B3D">
        <w:rPr>
          <w:highlight w:val="lightGray"/>
        </w:rPr>
        <w:t>highly likely</w:t>
      </w:r>
      <w:r w:rsidRPr="008E21C5">
        <w:rPr>
          <w:highlight w:val="lightGray"/>
        </w:rPr>
        <w:t>]</w:t>
      </w:r>
      <w:r w:rsidRPr="00235571">
        <w:t xml:space="preserve">, based upon the available information at the time of the decision, that the Respondent is </w:t>
      </w:r>
      <w:r w:rsidR="0002077D">
        <w:t>in violation</w:t>
      </w:r>
      <w:r w:rsidRPr="00235571">
        <w:t xml:space="preserve"> </w:t>
      </w:r>
      <w:r w:rsidR="0002077D">
        <w:t xml:space="preserve">of </w:t>
      </w:r>
      <w:r w:rsidRPr="00235571">
        <w:t xml:space="preserve">the alleged Policy violation(s). </w:t>
      </w:r>
    </w:p>
    <w:p w14:paraId="364AF9DC" w14:textId="77777777" w:rsidR="008A1D37" w:rsidRPr="007F6017" w:rsidRDefault="008A1D37" w:rsidP="008A1D37"/>
    <w:p w14:paraId="7B0E6FD4" w14:textId="498E2468" w:rsidR="008A1D37" w:rsidRDefault="008A1D37" w:rsidP="00021C70">
      <w:pPr>
        <w:pStyle w:val="Heading1"/>
      </w:pPr>
      <w:bookmarkStart w:id="37" w:name="_Toc168477511"/>
      <w:bookmarkStart w:id="38" w:name="ReportsComplaintsSection14"/>
      <w:r>
        <w:t>Reports/Complaints of Discrimination, Harassment, and/or Retaliation</w:t>
      </w:r>
      <w:bookmarkEnd w:id="37"/>
    </w:p>
    <w:bookmarkEnd w:id="38"/>
    <w:p w14:paraId="73E51631" w14:textId="77777777" w:rsidR="008A1D37" w:rsidRDefault="008A1D37" w:rsidP="008A1D37"/>
    <w:p w14:paraId="36915182" w14:textId="44DAF260" w:rsidR="008A1D37" w:rsidRPr="00AC6DAC" w:rsidRDefault="00AC6DAC" w:rsidP="008A1D37">
      <w:pPr>
        <w:rPr>
          <w:rFonts w:asciiTheme="minorHAnsi" w:hAnsiTheme="minorHAnsi" w:cstheme="minorHAnsi"/>
        </w:rPr>
      </w:pPr>
      <w:r w:rsidRPr="00AC6DAC">
        <w:rPr>
          <w:rFonts w:asciiTheme="minorHAnsi" w:eastAsiaTheme="minorHAnsi" w:hAnsiTheme="minorHAnsi" w:cstheme="minorHAnsi"/>
        </w:rPr>
        <w:t xml:space="preserve">A Report provides notice to the </w:t>
      </w:r>
      <w:r w:rsidRPr="00AC6DAC">
        <w:rPr>
          <w:rFonts w:asciiTheme="minorHAnsi" w:eastAsiaTheme="minorHAnsi" w:hAnsiTheme="minorHAnsi" w:cstheme="minorHAnsi"/>
          <w:highlight w:val="lightGray"/>
        </w:rPr>
        <w:t>Recipient</w:t>
      </w:r>
      <w:r w:rsidRPr="00AC6DAC">
        <w:rPr>
          <w:rFonts w:asciiTheme="minorHAnsi" w:eastAsiaTheme="minorHAnsi" w:hAnsiTheme="minorHAnsi" w:cstheme="minorHAnsi"/>
        </w:rPr>
        <w:t xml:space="preserve"> of an allegation or concern about </w:t>
      </w:r>
      <w:proofErr w:type="gramStart"/>
      <w:r w:rsidRPr="00AC6DAC">
        <w:rPr>
          <w:rFonts w:asciiTheme="minorHAnsi" w:eastAsiaTheme="minorHAnsi" w:hAnsiTheme="minorHAnsi" w:cstheme="minorHAnsi"/>
        </w:rPr>
        <w:t>discrimination</w:t>
      </w:r>
      <w:r w:rsidR="003071F3">
        <w:rPr>
          <w:rFonts w:asciiTheme="minorHAnsi" w:eastAsiaTheme="minorHAnsi" w:hAnsiTheme="minorHAnsi" w:cstheme="minorHAnsi"/>
        </w:rPr>
        <w:t xml:space="preserve">, </w:t>
      </w:r>
      <w:r w:rsidRPr="00AC6DAC">
        <w:rPr>
          <w:rFonts w:asciiTheme="minorHAnsi" w:eastAsiaTheme="minorHAnsi" w:hAnsiTheme="minorHAnsi" w:cstheme="minorHAnsi"/>
        </w:rPr>
        <w:t xml:space="preserve"> harassment</w:t>
      </w:r>
      <w:proofErr w:type="gramEnd"/>
      <w:r w:rsidR="003071F3">
        <w:rPr>
          <w:rFonts w:asciiTheme="minorHAnsi" w:eastAsiaTheme="minorHAnsi" w:hAnsiTheme="minorHAnsi" w:cstheme="minorHAnsi"/>
        </w:rPr>
        <w:t>, or retaliation</w:t>
      </w:r>
      <w:r w:rsidRPr="00AC6DAC">
        <w:rPr>
          <w:rFonts w:asciiTheme="minorHAnsi" w:eastAsiaTheme="minorHAnsi" w:hAnsiTheme="minorHAnsi" w:cstheme="minorHAnsi"/>
        </w:rPr>
        <w:t xml:space="preserve"> and provides an opportunity for the </w:t>
      </w:r>
      <w:r w:rsidRPr="00AC6DAC">
        <w:rPr>
          <w:rFonts w:asciiTheme="minorHAnsi" w:eastAsiaTheme="minorHAnsi" w:hAnsiTheme="minorHAnsi" w:cstheme="minorHAnsi"/>
          <w:highlight w:val="lightGray"/>
        </w:rPr>
        <w:t>Administrator</w:t>
      </w:r>
      <w:r w:rsidRPr="00AC6DAC">
        <w:rPr>
          <w:rFonts w:asciiTheme="minorHAnsi" w:eastAsiaTheme="minorHAnsi" w:hAnsiTheme="minorHAnsi" w:cstheme="minorHAnsi"/>
        </w:rPr>
        <w:t xml:space="preserve"> to provide information, resources, and supportive measures. A Complaint provides notice to the </w:t>
      </w:r>
      <w:r w:rsidRPr="00AC6DAC">
        <w:rPr>
          <w:rFonts w:asciiTheme="minorHAnsi" w:eastAsiaTheme="minorHAnsi" w:hAnsiTheme="minorHAnsi" w:cstheme="minorHAnsi"/>
          <w:highlight w:val="lightGray"/>
        </w:rPr>
        <w:t>Recipient</w:t>
      </w:r>
      <w:r w:rsidRPr="00AC6DAC">
        <w:rPr>
          <w:rFonts w:asciiTheme="minorHAnsi" w:eastAsiaTheme="minorHAnsi" w:hAnsiTheme="minorHAnsi" w:cstheme="minorHAnsi"/>
        </w:rPr>
        <w:t xml:space="preserve"> that the Complainant would like to initiate an investigation or other appropriate </w:t>
      </w:r>
      <w:r>
        <w:rPr>
          <w:rFonts w:asciiTheme="minorHAnsi" w:eastAsiaTheme="minorHAnsi" w:hAnsiTheme="minorHAnsi" w:cstheme="minorHAnsi"/>
        </w:rPr>
        <w:t>resolution</w:t>
      </w:r>
      <w:r w:rsidRPr="00AC6DAC">
        <w:rPr>
          <w:rFonts w:asciiTheme="minorHAnsi" w:eastAsiaTheme="minorHAnsi" w:hAnsiTheme="minorHAnsi" w:cstheme="minorHAnsi"/>
        </w:rPr>
        <w:t xml:space="preserve"> procedures. A Complainant or individual may initially make a report and may decide </w:t>
      </w:r>
      <w:proofErr w:type="gramStart"/>
      <w:r w:rsidRPr="00AC6DAC">
        <w:rPr>
          <w:rFonts w:asciiTheme="minorHAnsi" w:eastAsiaTheme="minorHAnsi" w:hAnsiTheme="minorHAnsi" w:cstheme="minorHAnsi"/>
        </w:rPr>
        <w:t>at a later time</w:t>
      </w:r>
      <w:proofErr w:type="gramEnd"/>
      <w:r w:rsidRPr="00AC6DAC">
        <w:rPr>
          <w:rFonts w:asciiTheme="minorHAnsi" w:eastAsiaTheme="minorHAnsi" w:hAnsiTheme="minorHAnsi" w:cstheme="minorHAnsi"/>
        </w:rPr>
        <w:t xml:space="preserve"> to make a Complaint.</w:t>
      </w:r>
      <w:r>
        <w:rPr>
          <w:rFonts w:asciiTheme="minorHAnsi" w:eastAsiaTheme="minorHAnsi" w:hAnsiTheme="minorHAnsi" w:cstheme="minorHAnsi"/>
        </w:rPr>
        <w:t xml:space="preserve"> </w:t>
      </w:r>
      <w:r w:rsidR="008A1D37" w:rsidRPr="00AC6DAC">
        <w:rPr>
          <w:rFonts w:asciiTheme="minorHAnsi" w:hAnsiTheme="minorHAnsi" w:cstheme="minorHAnsi"/>
        </w:rPr>
        <w:t xml:space="preserve">Reports or </w:t>
      </w:r>
      <w:r w:rsidR="00F240C0" w:rsidRPr="00AC6DAC">
        <w:rPr>
          <w:rFonts w:asciiTheme="minorHAnsi" w:hAnsiTheme="minorHAnsi" w:cstheme="minorHAnsi"/>
        </w:rPr>
        <w:t>Complaint</w:t>
      </w:r>
      <w:r w:rsidR="008A1D37" w:rsidRPr="00AC6DAC">
        <w:rPr>
          <w:rFonts w:asciiTheme="minorHAnsi" w:hAnsiTheme="minorHAnsi" w:cstheme="minorHAnsi"/>
        </w:rPr>
        <w:t>s of discrimination, harassment, and/or retaliation may be made using any of the following options:</w:t>
      </w:r>
    </w:p>
    <w:p w14:paraId="7FF0BDDE" w14:textId="77777777" w:rsidR="008A1D37" w:rsidRDefault="008A1D37" w:rsidP="008A1D37"/>
    <w:p w14:paraId="51B0DF17" w14:textId="678A5F2B" w:rsidR="008A1D37" w:rsidRDefault="008A1D37" w:rsidP="00E67059">
      <w:pPr>
        <w:pStyle w:val="ListParagraph"/>
        <w:numPr>
          <w:ilvl w:val="0"/>
          <w:numId w:val="2"/>
        </w:numPr>
      </w:pPr>
      <w:r>
        <w:t xml:space="preserve">File </w:t>
      </w:r>
      <w:r w:rsidR="00A022E1">
        <w:t xml:space="preserve">a </w:t>
      </w:r>
      <w:r w:rsidR="00F240C0">
        <w:t>Complaint</w:t>
      </w:r>
      <w:r>
        <w:t xml:space="preserve"> with, or give verbal </w:t>
      </w:r>
      <w:r w:rsidR="00BD18A8">
        <w:t>Notice</w:t>
      </w:r>
      <w:r>
        <w:t xml:space="preserve"> </w:t>
      </w:r>
      <w:r w:rsidR="00240E92">
        <w:t xml:space="preserve">directly </w:t>
      </w:r>
      <w:r>
        <w:t xml:space="preserve">to, the </w:t>
      </w:r>
      <w:r w:rsidRPr="008A1D37">
        <w:rPr>
          <w:highlight w:val="lightGray"/>
        </w:rPr>
        <w:t>Administrator</w:t>
      </w:r>
      <w:r w:rsidR="00DC0E00">
        <w:t xml:space="preserve"> </w:t>
      </w:r>
      <w:r w:rsidR="00240E92" w:rsidRPr="00ED3CAB">
        <w:t>or to</w:t>
      </w:r>
      <w:r w:rsidR="00DC0E00" w:rsidRPr="00ED3CAB">
        <w:t xml:space="preserve"> any member of the </w:t>
      </w:r>
      <w:r w:rsidR="00DC0E00" w:rsidRPr="00076F9C">
        <w:rPr>
          <w:highlight w:val="lightGray"/>
        </w:rPr>
        <w:t>Nondiscrimination Team</w:t>
      </w:r>
      <w:r w:rsidR="00240E92" w:rsidRPr="00ED3CAB">
        <w:t>.</w:t>
      </w:r>
      <w:r w:rsidR="00240E92">
        <w:t xml:space="preserve"> </w:t>
      </w:r>
      <w:r>
        <w:t xml:space="preserve">Such a </w:t>
      </w:r>
      <w:r w:rsidR="00F240C0">
        <w:t>Complaint</w:t>
      </w:r>
      <w:r>
        <w:t xml:space="preserve"> may be made at any time (including during non-business hours) by using the telephone number</w:t>
      </w:r>
      <w:r w:rsidR="005F3AE6">
        <w:t xml:space="preserve">, </w:t>
      </w:r>
      <w:r>
        <w:t xml:space="preserve">email address, or by mail to the office </w:t>
      </w:r>
      <w:r w:rsidR="00F00DFA">
        <w:t>of</w:t>
      </w:r>
      <w:r>
        <w:t xml:space="preserve"> the </w:t>
      </w:r>
      <w:r w:rsidRPr="008A1D37">
        <w:rPr>
          <w:highlight w:val="lightGray"/>
        </w:rPr>
        <w:t>Administrator</w:t>
      </w:r>
      <w:r>
        <w:t xml:space="preserve"> or any other </w:t>
      </w:r>
      <w:r w:rsidR="00F00DFA" w:rsidRPr="0088531D">
        <w:rPr>
          <w:highlight w:val="lightGray"/>
        </w:rPr>
        <w:t>Nondiscrimination</w:t>
      </w:r>
      <w:r w:rsidR="0088531D" w:rsidRPr="0088531D">
        <w:rPr>
          <w:highlight w:val="lightGray"/>
        </w:rPr>
        <w:t xml:space="preserve"> Team</w:t>
      </w:r>
      <w:r w:rsidR="00F00DFA">
        <w:t xml:space="preserve"> member</w:t>
      </w:r>
      <w:r w:rsidR="00240E92">
        <w:t xml:space="preserve"> </w:t>
      </w:r>
      <w:r w:rsidR="00240E92" w:rsidRPr="00685BA9">
        <w:t>listed</w:t>
      </w:r>
      <w:r w:rsidR="007B3A46" w:rsidRPr="00685BA9">
        <w:t xml:space="preserve"> </w:t>
      </w:r>
      <w:r w:rsidR="00BC756F" w:rsidRPr="00685BA9">
        <w:t>in</w:t>
      </w:r>
      <w:r w:rsidR="00240E92" w:rsidRPr="00685BA9">
        <w:t xml:space="preserve"> this </w:t>
      </w:r>
      <w:r w:rsidR="00BC756F" w:rsidRPr="00685BA9">
        <w:t>P</w:t>
      </w:r>
      <w:r w:rsidR="00240E92" w:rsidRPr="00685BA9">
        <w:t>olicy.</w:t>
      </w:r>
      <w:r w:rsidR="00240E92">
        <w:t xml:space="preserve"> </w:t>
      </w:r>
      <w:r>
        <w:br/>
      </w:r>
    </w:p>
    <w:p w14:paraId="096B4F7F" w14:textId="25AA63BC" w:rsidR="008A1D37" w:rsidRPr="00ED3CAB" w:rsidRDefault="008A1D37" w:rsidP="00E67059">
      <w:pPr>
        <w:pStyle w:val="ListParagraph"/>
        <w:numPr>
          <w:ilvl w:val="0"/>
          <w:numId w:val="2"/>
        </w:numPr>
        <w:rPr>
          <w:highlight w:val="lightGray"/>
        </w:rPr>
      </w:pPr>
      <w:r w:rsidRPr="00ED3CAB">
        <w:rPr>
          <w:highlight w:val="lightGray"/>
        </w:rPr>
        <w:t>[</w:t>
      </w:r>
      <w:r w:rsidR="00566A05" w:rsidRPr="00ED3CAB">
        <w:rPr>
          <w:highlight w:val="lightGray"/>
        </w:rPr>
        <w:t>S</w:t>
      </w:r>
      <w:r w:rsidR="00896434" w:rsidRPr="00ED3CAB">
        <w:rPr>
          <w:highlight w:val="lightGray"/>
        </w:rPr>
        <w:t xml:space="preserve">ubmit </w:t>
      </w:r>
      <w:r w:rsidRPr="00ED3CAB">
        <w:rPr>
          <w:highlight w:val="lightGray"/>
        </w:rPr>
        <w:t>online</w:t>
      </w:r>
      <w:r w:rsidR="00896434" w:rsidRPr="00ED3CAB">
        <w:rPr>
          <w:highlight w:val="lightGray"/>
        </w:rPr>
        <w:t xml:space="preserve"> </w:t>
      </w:r>
      <w:r w:rsidR="00A022E1">
        <w:rPr>
          <w:highlight w:val="lightGray"/>
        </w:rPr>
        <w:t>Notice</w:t>
      </w:r>
      <w:r w:rsidR="00A022E1" w:rsidRPr="00ED3CAB">
        <w:rPr>
          <w:highlight w:val="lightGray"/>
        </w:rPr>
        <w:t xml:space="preserve"> </w:t>
      </w:r>
      <w:r w:rsidR="00896434" w:rsidRPr="00ED3CAB">
        <w:rPr>
          <w:highlight w:val="lightGray"/>
        </w:rPr>
        <w:t>at &lt;&lt;</w:t>
      </w:r>
      <w:r w:rsidR="00DC5258">
        <w:rPr>
          <w:highlight w:val="lightGray"/>
        </w:rPr>
        <w:t>link</w:t>
      </w:r>
      <w:r w:rsidR="00896434" w:rsidRPr="00ED3CAB">
        <w:rPr>
          <w:highlight w:val="lightGray"/>
        </w:rPr>
        <w:t>&gt;&gt;</w:t>
      </w:r>
      <w:r w:rsidR="00240E92" w:rsidRPr="00ED3CAB">
        <w:rPr>
          <w:highlight w:val="lightGray"/>
        </w:rPr>
        <w:t>.</w:t>
      </w:r>
      <w:r w:rsidRPr="00ED3CAB">
        <w:rPr>
          <w:highlight w:val="lightGray"/>
        </w:rPr>
        <w:t xml:space="preserve"> Anonymous </w:t>
      </w:r>
      <w:r w:rsidR="00A022E1">
        <w:rPr>
          <w:highlight w:val="lightGray"/>
        </w:rPr>
        <w:t>Notice</w:t>
      </w:r>
      <w:r w:rsidR="00A022E1" w:rsidRPr="00ED3CAB">
        <w:rPr>
          <w:highlight w:val="lightGray"/>
        </w:rPr>
        <w:t xml:space="preserve"> </w:t>
      </w:r>
      <w:r w:rsidR="00A022E1">
        <w:rPr>
          <w:highlight w:val="lightGray"/>
        </w:rPr>
        <w:t>is</w:t>
      </w:r>
      <w:r w:rsidRPr="00ED3CAB">
        <w:rPr>
          <w:highlight w:val="lightGray"/>
        </w:rPr>
        <w:t xml:space="preserve"> accepted</w:t>
      </w:r>
      <w:r w:rsidR="00DC5258">
        <w:rPr>
          <w:highlight w:val="lightGray"/>
        </w:rPr>
        <w:t>,</w:t>
      </w:r>
      <w:r w:rsidRPr="00ED3CAB">
        <w:rPr>
          <w:highlight w:val="lightGray"/>
        </w:rPr>
        <w:t xml:space="preserve"> but</w:t>
      </w:r>
      <w:r w:rsidR="007B3A46" w:rsidRPr="00ED3CAB">
        <w:rPr>
          <w:highlight w:val="lightGray"/>
        </w:rPr>
        <w:t xml:space="preserve"> the </w:t>
      </w:r>
      <w:r w:rsidR="00A022E1">
        <w:rPr>
          <w:highlight w:val="lightGray"/>
        </w:rPr>
        <w:t>Notice</w:t>
      </w:r>
      <w:r w:rsidR="00A022E1" w:rsidRPr="00ED3CAB">
        <w:rPr>
          <w:highlight w:val="lightGray"/>
        </w:rPr>
        <w:t xml:space="preserve"> </w:t>
      </w:r>
      <w:r w:rsidR="007B3A46" w:rsidRPr="00ED3CAB">
        <w:rPr>
          <w:highlight w:val="lightGray"/>
        </w:rPr>
        <w:t xml:space="preserve">may give rise to a need to </w:t>
      </w:r>
      <w:r w:rsidR="00446204">
        <w:rPr>
          <w:highlight w:val="lightGray"/>
        </w:rPr>
        <w:t xml:space="preserve">try to </w:t>
      </w:r>
      <w:r w:rsidR="007B3A46" w:rsidRPr="00ED3CAB">
        <w:rPr>
          <w:highlight w:val="lightGray"/>
        </w:rPr>
        <w:t xml:space="preserve">determine the </w:t>
      </w:r>
      <w:r w:rsidR="0028631C">
        <w:rPr>
          <w:highlight w:val="lightGray"/>
        </w:rPr>
        <w:t>Parties</w:t>
      </w:r>
      <w:r w:rsidR="007B3A46" w:rsidRPr="00ED3CAB">
        <w:rPr>
          <w:highlight w:val="lightGray"/>
        </w:rPr>
        <w:t xml:space="preserve">’ identities. </w:t>
      </w:r>
      <w:r w:rsidR="00446204">
        <w:rPr>
          <w:highlight w:val="lightGray"/>
        </w:rPr>
        <w:t>A</w:t>
      </w:r>
      <w:r w:rsidR="00446204" w:rsidRPr="00446204">
        <w:rPr>
          <w:highlight w:val="lightGray"/>
        </w:rPr>
        <w:t xml:space="preserve">nonymous </w:t>
      </w:r>
      <w:r w:rsidR="00A022E1">
        <w:rPr>
          <w:highlight w:val="lightGray"/>
        </w:rPr>
        <w:t>Notice</w:t>
      </w:r>
      <w:r w:rsidR="00446204" w:rsidRPr="00446204">
        <w:rPr>
          <w:highlight w:val="lightGray"/>
        </w:rPr>
        <w:t xml:space="preserve"> typically limit</w:t>
      </w:r>
      <w:r w:rsidR="00A022E1">
        <w:rPr>
          <w:highlight w:val="lightGray"/>
        </w:rPr>
        <w:t>s</w:t>
      </w:r>
      <w:r w:rsidR="00446204" w:rsidRPr="00446204">
        <w:rPr>
          <w:highlight w:val="lightGray"/>
        </w:rPr>
        <w:t xml:space="preserve"> the Recipient’s ability to investigate, respond, and provide remedies, depending on what information is shared. </w:t>
      </w:r>
      <w:r w:rsidR="00446204">
        <w:rPr>
          <w:highlight w:val="lightGray"/>
        </w:rPr>
        <w:t>M</w:t>
      </w:r>
      <w:r w:rsidRPr="00ED3CAB">
        <w:rPr>
          <w:highlight w:val="lightGray"/>
        </w:rPr>
        <w:t xml:space="preserve">easures intended to protect the community </w:t>
      </w:r>
      <w:r w:rsidR="007B3A46" w:rsidRPr="00ED3CAB">
        <w:rPr>
          <w:highlight w:val="lightGray"/>
        </w:rPr>
        <w:t xml:space="preserve">or redress or mitigate harm </w:t>
      </w:r>
      <w:r w:rsidRPr="00ED3CAB">
        <w:rPr>
          <w:highlight w:val="lightGray"/>
        </w:rPr>
        <w:t xml:space="preserve">may be enacted. </w:t>
      </w:r>
      <w:r w:rsidR="007B3A46" w:rsidRPr="00ED3CAB">
        <w:rPr>
          <w:highlight w:val="lightGray"/>
        </w:rPr>
        <w:t xml:space="preserve">It also may not be possible to provide supportive measures to Complainants who are the subject of anonymous </w:t>
      </w:r>
      <w:r w:rsidR="00A022E1">
        <w:rPr>
          <w:highlight w:val="lightGray"/>
        </w:rPr>
        <w:t>Notice</w:t>
      </w:r>
      <w:r w:rsidR="007437DE" w:rsidRPr="00ED3CAB">
        <w:rPr>
          <w:highlight w:val="lightGray"/>
        </w:rPr>
        <w:t>]</w:t>
      </w:r>
      <w:r w:rsidR="007B3A46" w:rsidRPr="00ED3CAB">
        <w:rPr>
          <w:highlight w:val="lightGray"/>
        </w:rPr>
        <w:t xml:space="preserve">. </w:t>
      </w:r>
    </w:p>
    <w:p w14:paraId="74D58251" w14:textId="77777777" w:rsidR="008A1D37" w:rsidRPr="00F539C8" w:rsidRDefault="008A1D37" w:rsidP="008A1D37">
      <w:pPr>
        <w:pStyle w:val="ListParagraph"/>
      </w:pPr>
    </w:p>
    <w:p w14:paraId="3DF54CB2" w14:textId="272250C2" w:rsidR="008A1D37" w:rsidRDefault="00CA6515" w:rsidP="00ED3CAB">
      <w:r w:rsidRPr="00F539C8">
        <w:lastRenderedPageBreak/>
        <w:t>R</w:t>
      </w:r>
      <w:r w:rsidR="008A1D37" w:rsidRPr="00F539C8">
        <w:t xml:space="preserve">eporting carries no obligation to initiate a </w:t>
      </w:r>
      <w:r w:rsidR="00F240C0">
        <w:t>Complaint</w:t>
      </w:r>
      <w:r w:rsidR="00586FA4">
        <w:t>,</w:t>
      </w:r>
      <w:r w:rsidR="008A1D37" w:rsidRPr="00F539C8">
        <w:t xml:space="preserve"> and </w:t>
      </w:r>
      <w:r w:rsidR="007B3A46" w:rsidRPr="00F539C8">
        <w:t xml:space="preserve">in most situations, </w:t>
      </w:r>
      <w:r w:rsidR="008A1D37" w:rsidRPr="00ED3CAB">
        <w:rPr>
          <w:highlight w:val="lightGray"/>
        </w:rPr>
        <w:t>Recipient</w:t>
      </w:r>
      <w:r w:rsidR="007B3A46" w:rsidRPr="00F539C8">
        <w:t xml:space="preserve"> </w:t>
      </w:r>
      <w:proofErr w:type="gramStart"/>
      <w:r w:rsidR="007B3A46" w:rsidRPr="00F539C8">
        <w:t>is able to</w:t>
      </w:r>
      <w:proofErr w:type="gramEnd"/>
      <w:r w:rsidR="008A1D37" w:rsidRPr="00F539C8">
        <w:t xml:space="preserve"> respect </w:t>
      </w:r>
      <w:r w:rsidR="002C3883">
        <w:t>a</w:t>
      </w:r>
      <w:r w:rsidR="007B3A46" w:rsidRPr="00F539C8">
        <w:t xml:space="preserve"> </w:t>
      </w:r>
      <w:r w:rsidR="008A1D37" w:rsidRPr="00F539C8">
        <w:t>Complainant</w:t>
      </w:r>
      <w:r w:rsidR="007B3A46" w:rsidRPr="00F539C8">
        <w:t>’s</w:t>
      </w:r>
      <w:r w:rsidR="008A1D37" w:rsidRPr="00F539C8">
        <w:t xml:space="preserve"> request to </w:t>
      </w:r>
      <w:r w:rsidRPr="00F539C8">
        <w:t xml:space="preserve">not initiate a </w:t>
      </w:r>
      <w:r w:rsidR="00446204">
        <w:t>resolution process</w:t>
      </w:r>
      <w:r w:rsidR="007B3A46" w:rsidRPr="00F539C8">
        <w:t>. Howeve</w:t>
      </w:r>
      <w:r w:rsidR="004E3C8B" w:rsidRPr="00F539C8">
        <w:t xml:space="preserve">r, there may be circumstances, such </w:t>
      </w:r>
      <w:r w:rsidR="008A1D37" w:rsidRPr="00F539C8">
        <w:t>a</w:t>
      </w:r>
      <w:r w:rsidR="004E3C8B" w:rsidRPr="00F539C8">
        <w:t>s pattern behavior, allegations of severe misconduct, or a</w:t>
      </w:r>
      <w:r w:rsidR="008A1D37" w:rsidRPr="00F539C8">
        <w:t xml:space="preserve"> compelling threat to health and/or safety</w:t>
      </w:r>
      <w:r w:rsidR="004E3C8B" w:rsidRPr="00F539C8">
        <w:t xml:space="preserve">, where the </w:t>
      </w:r>
      <w:r w:rsidR="004E3C8B" w:rsidRPr="00AF4053">
        <w:rPr>
          <w:highlight w:val="lightGray"/>
        </w:rPr>
        <w:t>Recipient</w:t>
      </w:r>
      <w:r w:rsidR="004E3C8B" w:rsidRPr="00F539C8">
        <w:t xml:space="preserve"> may need to initiate a </w:t>
      </w:r>
      <w:r w:rsidR="00446204">
        <w:t>resolution process</w:t>
      </w:r>
      <w:r w:rsidRPr="00F539C8">
        <w:t>.</w:t>
      </w:r>
      <w:r w:rsidR="008A1D37" w:rsidRPr="00F539C8">
        <w:t xml:space="preserve"> </w:t>
      </w:r>
      <w:r w:rsidR="004E3C8B" w:rsidRPr="00F539C8">
        <w:t xml:space="preserve">If a Complainant does not wish to file a </w:t>
      </w:r>
      <w:r w:rsidR="00F240C0">
        <w:t>Complaint</w:t>
      </w:r>
      <w:r w:rsidR="004E3C8B" w:rsidRPr="00F539C8">
        <w:t xml:space="preserve">, the </w:t>
      </w:r>
      <w:r w:rsidR="004E3C8B" w:rsidRPr="00AF4053">
        <w:rPr>
          <w:highlight w:val="lightGray"/>
        </w:rPr>
        <w:t>Recipient</w:t>
      </w:r>
      <w:r w:rsidR="004E3C8B" w:rsidRPr="00F539C8">
        <w:t xml:space="preserve"> will maintain the privacy of information to the extent possible</w:t>
      </w:r>
      <w:r w:rsidR="00446204">
        <w:t xml:space="preserve">. </w:t>
      </w:r>
      <w:r w:rsidRPr="00F539C8">
        <w:t>T</w:t>
      </w:r>
      <w:r w:rsidR="008A1D37" w:rsidRPr="00F539C8">
        <w:t xml:space="preserve">he Complainant should not fear a loss of confidentiality by </w:t>
      </w:r>
      <w:r w:rsidR="00A022E1">
        <w:t>giving Notice</w:t>
      </w:r>
      <w:r w:rsidR="008A1D37" w:rsidRPr="00F539C8">
        <w:t xml:space="preserve"> that allows the </w:t>
      </w:r>
      <w:r w:rsidR="008A1D37" w:rsidRPr="00ED3CAB">
        <w:rPr>
          <w:highlight w:val="lightGray"/>
        </w:rPr>
        <w:t>Recipient</w:t>
      </w:r>
      <w:r w:rsidR="008A1D37" w:rsidRPr="00F539C8">
        <w:t xml:space="preserve"> to discuss and/or provide supportive measures</w:t>
      </w:r>
      <w:r w:rsidR="002C3883">
        <w:t>, in most circumstances</w:t>
      </w:r>
      <w:r w:rsidR="008A1D37" w:rsidRPr="00F539C8">
        <w:t>.</w:t>
      </w:r>
    </w:p>
    <w:p w14:paraId="068C1877" w14:textId="77777777" w:rsidR="008A1D37" w:rsidRDefault="008A1D37" w:rsidP="008A1D37">
      <w:pPr>
        <w:pStyle w:val="ListParagraph"/>
      </w:pPr>
    </w:p>
    <w:p w14:paraId="479351DD" w14:textId="5229DC85" w:rsidR="008A1D37" w:rsidRDefault="008A1D37" w:rsidP="00E67059">
      <w:pPr>
        <w:pStyle w:val="ListParagraph"/>
        <w:numPr>
          <w:ilvl w:val="0"/>
          <w:numId w:val="2"/>
        </w:numPr>
        <w:rPr>
          <w:highlight w:val="lightGray"/>
        </w:rPr>
      </w:pPr>
      <w:r w:rsidRPr="00AB3FDD">
        <w:rPr>
          <w:highlight w:val="lightGray"/>
        </w:rPr>
        <w:t>Report using the discrimination</w:t>
      </w:r>
      <w:r w:rsidR="001A635E">
        <w:rPr>
          <w:highlight w:val="lightGray"/>
        </w:rPr>
        <w:t>/harassment</w:t>
      </w:r>
      <w:r w:rsidRPr="00AB3FDD">
        <w:rPr>
          <w:highlight w:val="lightGray"/>
        </w:rPr>
        <w:t xml:space="preserve"> hotline </w:t>
      </w:r>
      <w:r w:rsidR="00CA6515">
        <w:rPr>
          <w:highlight w:val="lightGray"/>
        </w:rPr>
        <w:t>&lt;&lt;phone number&gt;&gt;</w:t>
      </w:r>
      <w:r w:rsidRPr="00AB3FDD">
        <w:rPr>
          <w:highlight w:val="lightGray"/>
        </w:rPr>
        <w:t>.</w:t>
      </w:r>
      <w:r>
        <w:rPr>
          <w:highlight w:val="lightGray"/>
        </w:rPr>
        <w:br/>
      </w:r>
    </w:p>
    <w:p w14:paraId="79B873CF" w14:textId="127EC633" w:rsidR="008A1D37" w:rsidRPr="00AB3FDD" w:rsidRDefault="00833BBD" w:rsidP="00E67059">
      <w:pPr>
        <w:pStyle w:val="ListParagraph"/>
        <w:numPr>
          <w:ilvl w:val="0"/>
          <w:numId w:val="2"/>
        </w:numPr>
        <w:rPr>
          <w:highlight w:val="lightGray"/>
        </w:rPr>
      </w:pPr>
      <w:r>
        <w:rPr>
          <w:highlight w:val="lightGray"/>
        </w:rPr>
        <w:t>[</w:t>
      </w:r>
      <w:r w:rsidR="008A1D37" w:rsidRPr="00AB3FDD">
        <w:rPr>
          <w:highlight w:val="lightGray"/>
        </w:rPr>
        <w:t>Add any other campus reporting options here (supervisors, etc.).</w:t>
      </w:r>
      <w:r w:rsidR="00CA6515" w:rsidRPr="0091243B">
        <w:rPr>
          <w:highlight w:val="lightGray"/>
        </w:rPr>
        <w:t>]</w:t>
      </w:r>
      <w:r w:rsidR="008A1D37">
        <w:br/>
      </w:r>
    </w:p>
    <w:p w14:paraId="3B8A7E34" w14:textId="77777777" w:rsidR="00CA6515" w:rsidRDefault="00CA6515" w:rsidP="00021C70">
      <w:pPr>
        <w:pStyle w:val="Heading1"/>
      </w:pPr>
      <w:bookmarkStart w:id="39" w:name="_Toc168477512"/>
      <w:r>
        <w:t>Time Limits on Reporting</w:t>
      </w:r>
      <w:bookmarkEnd w:id="39"/>
    </w:p>
    <w:p w14:paraId="4B1852C1" w14:textId="77777777" w:rsidR="00CA6515" w:rsidRDefault="00CA6515" w:rsidP="00CA6515"/>
    <w:p w14:paraId="7F2B82FC" w14:textId="4968E673" w:rsidR="00CA6515" w:rsidRDefault="00CA6515" w:rsidP="00CA6515">
      <w:r>
        <w:t xml:space="preserve">There is no time limitation on providing </w:t>
      </w:r>
      <w:r w:rsidR="00BD18A8">
        <w:t>Notice</w:t>
      </w:r>
      <w:r>
        <w:t>/</w:t>
      </w:r>
      <w:r w:rsidR="00F240C0">
        <w:t>Complaint</w:t>
      </w:r>
      <w:r>
        <w:t xml:space="preserve">s to the </w:t>
      </w:r>
      <w:r w:rsidRPr="0091243B">
        <w:rPr>
          <w:highlight w:val="lightGray"/>
        </w:rPr>
        <w:t>Administrator</w:t>
      </w:r>
      <w:r>
        <w:t xml:space="preserve">. However, if the Respondent is no longer subject to the </w:t>
      </w:r>
      <w:r w:rsidRPr="00897393">
        <w:rPr>
          <w:highlight w:val="lightGray"/>
        </w:rPr>
        <w:t>Recipient</w:t>
      </w:r>
      <w:r>
        <w:t xml:space="preserve">’s jurisdiction and/or significant time has passed, the ability to investigate, respond, and/or provide remedies may be more limited or impossible. </w:t>
      </w:r>
    </w:p>
    <w:p w14:paraId="434D0BB0" w14:textId="77777777" w:rsidR="00CA6515" w:rsidRDefault="00CA6515" w:rsidP="00CA6515"/>
    <w:p w14:paraId="360A5829" w14:textId="52B71FEE" w:rsidR="00CA6515" w:rsidRDefault="00CA6515" w:rsidP="00CA6515">
      <w:r>
        <w:t xml:space="preserve">Acting on </w:t>
      </w:r>
      <w:r w:rsidR="00BD18A8">
        <w:t>Notice</w:t>
      </w:r>
      <w:r>
        <w:t>/</w:t>
      </w:r>
      <w:r w:rsidR="00F240C0">
        <w:t>Complaint</w:t>
      </w:r>
      <w:r>
        <w:t xml:space="preserve">s significantly impacted by the passage of time (including, but not limited to, the rescission or revision of </w:t>
      </w:r>
      <w:r w:rsidR="00D715ED">
        <w:t>P</w:t>
      </w:r>
      <w:r>
        <w:t xml:space="preserve">olicy) is at the </w:t>
      </w:r>
      <w:r w:rsidRPr="0091243B">
        <w:rPr>
          <w:highlight w:val="lightGray"/>
        </w:rPr>
        <w:t>Administrator</w:t>
      </w:r>
      <w:r>
        <w:t xml:space="preserve">’s discretion; they may document allegations for future reference, offer supportive measures and/or remedies, and/or engage in informal or formal action, as appropriate. </w:t>
      </w:r>
    </w:p>
    <w:p w14:paraId="0D3FCD40" w14:textId="77777777" w:rsidR="00CA6515" w:rsidRDefault="00CA6515" w:rsidP="00CA6515"/>
    <w:p w14:paraId="2FB99401" w14:textId="77777777" w:rsidR="00CA6515" w:rsidRDefault="00CA6515" w:rsidP="00021C70">
      <w:pPr>
        <w:pStyle w:val="Heading1"/>
      </w:pPr>
      <w:bookmarkStart w:id="40" w:name="_Toc168477513"/>
      <w:r>
        <w:t>False Allegations and Evidence</w:t>
      </w:r>
      <w:bookmarkEnd w:id="40"/>
    </w:p>
    <w:p w14:paraId="7D6FB849" w14:textId="77777777" w:rsidR="00CA6515" w:rsidRDefault="00CA6515" w:rsidP="00CA6515"/>
    <w:p w14:paraId="41FDC520" w14:textId="77E8B961" w:rsidR="00CA6515" w:rsidRDefault="00CA6515" w:rsidP="00CA6515">
      <w:r>
        <w:t xml:space="preserve">Deliberately false and/or malicious accusations under this Policy are a serious offense and will be subject to appropriate disciplinary action. This does not include allegations that are made in good faith but are ultimately shown to be erroneous or do not result in a </w:t>
      </w:r>
      <w:r w:rsidR="00A9188B">
        <w:t>determination of a P</w:t>
      </w:r>
      <w:r>
        <w:t>olicy violation.</w:t>
      </w:r>
    </w:p>
    <w:p w14:paraId="3F803929" w14:textId="77777777" w:rsidR="00CA6515" w:rsidRDefault="00CA6515" w:rsidP="00CA6515"/>
    <w:p w14:paraId="351DC03F" w14:textId="2E89FACC" w:rsidR="00CA6515" w:rsidRDefault="00CA6515" w:rsidP="00CA6515">
      <w:r>
        <w:t xml:space="preserve">Additionally, witnesses and </w:t>
      </w:r>
      <w:r w:rsidR="0028631C">
        <w:t>Parties</w:t>
      </w:r>
      <w:r>
        <w:t xml:space="preserve"> </w:t>
      </w:r>
      <w:r w:rsidR="00796427">
        <w:t xml:space="preserve">who </w:t>
      </w:r>
      <w:r>
        <w:t>knowingly provid</w:t>
      </w:r>
      <w:r w:rsidR="00796427">
        <w:t>e</w:t>
      </w:r>
      <w:r>
        <w:t xml:space="preserve"> false evidence, tamper with or destroy evidence, or deliberately mislead an official </w:t>
      </w:r>
      <w:proofErr w:type="gramStart"/>
      <w:r>
        <w:t>conducting an investigation</w:t>
      </w:r>
      <w:proofErr w:type="gramEnd"/>
      <w:r>
        <w:t xml:space="preserve"> or resolution process</w:t>
      </w:r>
      <w:r w:rsidR="00B50294">
        <w:t xml:space="preserve"> </w:t>
      </w:r>
      <w:r>
        <w:t xml:space="preserve">can be subject to discipline under appropriate </w:t>
      </w:r>
      <w:r w:rsidRPr="0013026F">
        <w:rPr>
          <w:highlight w:val="lightGray"/>
        </w:rPr>
        <w:t>Recipient</w:t>
      </w:r>
      <w:r>
        <w:t xml:space="preserve"> policies.</w:t>
      </w:r>
    </w:p>
    <w:p w14:paraId="277FCA74" w14:textId="77777777" w:rsidR="00B50294" w:rsidRDefault="00B50294" w:rsidP="00CA6515"/>
    <w:p w14:paraId="0867B39D" w14:textId="77777777" w:rsidR="00B50294" w:rsidRDefault="00B50294" w:rsidP="00021C70">
      <w:pPr>
        <w:pStyle w:val="Heading1"/>
      </w:pPr>
      <w:bookmarkStart w:id="41" w:name="_Toc168477514"/>
      <w:r>
        <w:t>Confidentiality/Privacy</w:t>
      </w:r>
      <w:bookmarkEnd w:id="41"/>
    </w:p>
    <w:p w14:paraId="0D623EE4" w14:textId="77777777" w:rsidR="00B50294" w:rsidRDefault="00B50294" w:rsidP="00B50294"/>
    <w:p w14:paraId="0D1374CB" w14:textId="452BCA9C" w:rsidR="00B50294" w:rsidRDefault="00B50294" w:rsidP="00B50294">
      <w:proofErr w:type="gramStart"/>
      <w:r w:rsidRPr="000334A0">
        <w:rPr>
          <w:highlight w:val="lightGray"/>
        </w:rPr>
        <w:t>Recipient</w:t>
      </w:r>
      <w:proofErr w:type="gramEnd"/>
      <w:r>
        <w:t xml:space="preserve"> makes every effort to preserve the </w:t>
      </w:r>
      <w:r w:rsidR="0028631C">
        <w:t>Parties</w:t>
      </w:r>
      <w:r>
        <w:t xml:space="preserve">’ privacy. The </w:t>
      </w:r>
      <w:r w:rsidRPr="000334A0">
        <w:rPr>
          <w:highlight w:val="lightGray"/>
        </w:rPr>
        <w:t>Recipient</w:t>
      </w:r>
      <w:r>
        <w:t xml:space="preserve"> will not share the identity of any individual who has made a </w:t>
      </w:r>
      <w:r w:rsidR="00F240C0">
        <w:t>Complaint</w:t>
      </w:r>
      <w:r>
        <w:t xml:space="preserve"> of harassment, discrimination, or retaliation; any Complainant; any individual who has been reported to be the perpetrator of discrimination, </w:t>
      </w:r>
      <w:r w:rsidR="001A635E">
        <w:t xml:space="preserve">harassment, </w:t>
      </w:r>
      <w:r>
        <w:t>or retaliation; any Respondent; or any witness, except as permitted by</w:t>
      </w:r>
      <w:r w:rsidR="00D71861">
        <w:t>,</w:t>
      </w:r>
      <w:r>
        <w:t xml:space="preserve"> </w:t>
      </w:r>
      <w:r w:rsidR="00D71861">
        <w:t xml:space="preserve">or to fulfill the purposes, of applicable laws and regulations (e.g., Title IX), </w:t>
      </w:r>
      <w:r>
        <w:t xml:space="preserve">Family Educational Rights and Privacy Act (FERPA) </w:t>
      </w:r>
      <w:r w:rsidR="00D71861">
        <w:t>and</w:t>
      </w:r>
      <w:r>
        <w:t xml:space="preserve"> its implementing regulations, or as required by </w:t>
      </w:r>
      <w:r>
        <w:lastRenderedPageBreak/>
        <w:t>law; including any investigation, or resolution proceeding arising under these policies and procedures.</w:t>
      </w:r>
      <w:r>
        <w:rPr>
          <w:rStyle w:val="FootnoteReference"/>
        </w:rPr>
        <w:footnoteReference w:id="19"/>
      </w:r>
      <w:r w:rsidRPr="0091243B">
        <w:rPr>
          <w:vertAlign w:val="superscript"/>
        </w:rPr>
        <w:t>,</w:t>
      </w:r>
      <w:r>
        <w:rPr>
          <w:rStyle w:val="FootnoteReference"/>
        </w:rPr>
        <w:footnoteReference w:id="20"/>
      </w:r>
      <w:r w:rsidR="00D71861" w:rsidRPr="00D71861">
        <w:t xml:space="preserve"> </w:t>
      </w:r>
      <w:r w:rsidR="006350E6">
        <w:t xml:space="preserve">Additional information regarding </w:t>
      </w:r>
      <w:r w:rsidR="0065391E">
        <w:t>c</w:t>
      </w:r>
      <w:r w:rsidR="006350E6">
        <w:t xml:space="preserve">onfidentiality and privacy can be found in </w:t>
      </w:r>
      <w:hyperlink w:anchor="_APPENDIX_E:_PRIVACY," w:history="1">
        <w:r w:rsidR="006350E6" w:rsidRPr="00901191">
          <w:rPr>
            <w:rStyle w:val="Hyperlink"/>
          </w:rPr>
          <w:t xml:space="preserve">Appendix </w:t>
        </w:r>
        <w:r w:rsidR="00877150" w:rsidRPr="00901191">
          <w:rPr>
            <w:rStyle w:val="Hyperlink"/>
          </w:rPr>
          <w:t>E</w:t>
        </w:r>
      </w:hyperlink>
      <w:r w:rsidR="00877150" w:rsidRPr="00901191">
        <w:t>.</w:t>
      </w:r>
      <w:r w:rsidR="006350E6">
        <w:t xml:space="preserve"> </w:t>
      </w:r>
    </w:p>
    <w:p w14:paraId="49287A76" w14:textId="24E78749" w:rsidR="00D71861" w:rsidRDefault="00D71861" w:rsidP="00B50294"/>
    <w:p w14:paraId="49C21CBC" w14:textId="37130600" w:rsidR="006350E6" w:rsidRPr="00AF4053" w:rsidRDefault="006350E6" w:rsidP="00B50294">
      <w:pPr>
        <w:rPr>
          <w:u w:val="single"/>
        </w:rPr>
      </w:pPr>
      <w:r w:rsidRPr="00AF4053">
        <w:rPr>
          <w:u w:val="single"/>
        </w:rPr>
        <w:t>Unauthorized Disclosure of Information</w:t>
      </w:r>
    </w:p>
    <w:p w14:paraId="7BA14455" w14:textId="77777777" w:rsidR="006350E6" w:rsidRPr="00F539C8" w:rsidRDefault="006350E6" w:rsidP="00B50294">
      <w:pPr>
        <w:rPr>
          <w:b/>
          <w:bCs/>
        </w:rPr>
      </w:pPr>
    </w:p>
    <w:p w14:paraId="281D4D06" w14:textId="35792974" w:rsidR="00E27074" w:rsidRPr="008A28F3" w:rsidRDefault="006350E6" w:rsidP="008A28F3">
      <w:r>
        <w:t xml:space="preserve">Parties and Advisors are prohibited </w:t>
      </w:r>
      <w:proofErr w:type="gramStart"/>
      <w:r>
        <w:t>from unauthorized disclosure of information obtain</w:t>
      </w:r>
      <w:r w:rsidR="006F66D3">
        <w:t>ed</w:t>
      </w:r>
      <w:r>
        <w:t xml:space="preserve"> </w:t>
      </w:r>
      <w:r w:rsidR="0065391E">
        <w:t xml:space="preserve">by the </w:t>
      </w:r>
      <w:r w:rsidR="0065391E" w:rsidRPr="00ED3CAB">
        <w:rPr>
          <w:highlight w:val="lightGray"/>
        </w:rPr>
        <w:t>Recipient</w:t>
      </w:r>
      <w:r w:rsidR="0065391E">
        <w:t xml:space="preserve"> </w:t>
      </w:r>
      <w:r w:rsidR="006F66D3">
        <w:t xml:space="preserve">through the </w:t>
      </w:r>
      <w:r w:rsidR="00040572">
        <w:t>Resolution P</w:t>
      </w:r>
      <w:r w:rsidR="006F66D3">
        <w:t>rocess</w:t>
      </w:r>
      <w:r w:rsidR="0065391E">
        <w:t>,</w:t>
      </w:r>
      <w:proofErr w:type="gramEnd"/>
      <w:r w:rsidR="0065391E">
        <w:t xml:space="preserve"> to the extent that information is the work product of the </w:t>
      </w:r>
      <w:r w:rsidR="0065391E" w:rsidRPr="00ED3CAB">
        <w:rPr>
          <w:highlight w:val="lightGray"/>
        </w:rPr>
        <w:t>Recipient</w:t>
      </w:r>
      <w:r w:rsidR="0065391E">
        <w:t xml:space="preserve"> (meaning it has been produced, compiled, or written by </w:t>
      </w:r>
      <w:r w:rsidR="0065391E" w:rsidRPr="00ED3CAB">
        <w:rPr>
          <w:highlight w:val="lightGray"/>
        </w:rPr>
        <w:t>Recipient</w:t>
      </w:r>
      <w:r w:rsidR="0065391E">
        <w:t xml:space="preserve"> for purposes of its investigation and resolution of a </w:t>
      </w:r>
      <w:r w:rsidR="00F240C0">
        <w:t>Complaint</w:t>
      </w:r>
      <w:r w:rsidR="0065391E">
        <w:t>)</w:t>
      </w:r>
      <w:r w:rsidR="006F1655">
        <w:t>.</w:t>
      </w:r>
      <w:r w:rsidR="00565575">
        <w:t xml:space="preserve"> </w:t>
      </w:r>
      <w:r w:rsidR="00565575" w:rsidRPr="00E27074">
        <w:t>It is</w:t>
      </w:r>
      <w:r w:rsidR="00565575">
        <w:t xml:space="preserve"> also </w:t>
      </w:r>
      <w:r w:rsidR="00565575" w:rsidRPr="00E27074">
        <w:t xml:space="preserve">a violation of </w:t>
      </w:r>
      <w:r w:rsidR="0065391E" w:rsidRPr="00ED3CAB">
        <w:rPr>
          <w:highlight w:val="lightGray"/>
        </w:rPr>
        <w:t>Recipient</w:t>
      </w:r>
      <w:r w:rsidR="0065391E" w:rsidRPr="00E27074">
        <w:t xml:space="preserve"> </w:t>
      </w:r>
      <w:r w:rsidR="00565575" w:rsidRPr="00E27074">
        <w:t xml:space="preserve">Policy to publicly disclose </w:t>
      </w:r>
      <w:r w:rsidR="0065391E">
        <w:t xml:space="preserve">work </w:t>
      </w:r>
      <w:proofErr w:type="gramStart"/>
      <w:r w:rsidR="0065391E">
        <w:t>product</w:t>
      </w:r>
      <w:proofErr w:type="gramEnd"/>
      <w:r w:rsidR="0065391E">
        <w:t xml:space="preserve"> or a</w:t>
      </w:r>
      <w:r w:rsidR="00565575" w:rsidRPr="00E27074">
        <w:t xml:space="preserve"> party’s personally identifiable information without authorization or consent.</w:t>
      </w:r>
      <w:r w:rsidR="00C85DCC">
        <w:t xml:space="preserve"> Violation of this </w:t>
      </w:r>
      <w:r w:rsidR="00D715ED">
        <w:t>P</w:t>
      </w:r>
      <w:r w:rsidR="00C85DCC">
        <w:t>olicy is subject to significant sanctions.</w:t>
      </w:r>
    </w:p>
    <w:p w14:paraId="4E8F3760" w14:textId="77777777" w:rsidR="00D9397E" w:rsidRPr="00E52013" w:rsidRDefault="00D9397E" w:rsidP="00ED3CAB"/>
    <w:p w14:paraId="1294F2DE" w14:textId="1167B31B" w:rsidR="00043C4C" w:rsidRDefault="00043C4C" w:rsidP="00043C4C">
      <w:pPr>
        <w:pStyle w:val="Heading1"/>
      </w:pPr>
      <w:bookmarkStart w:id="42" w:name="_Toc82511614"/>
      <w:bookmarkStart w:id="43" w:name="_Toc102393937"/>
      <w:bookmarkStart w:id="44" w:name="_Toc168477515"/>
      <w:r>
        <w:t>Emergency Removal</w:t>
      </w:r>
      <w:bookmarkEnd w:id="42"/>
      <w:bookmarkEnd w:id="43"/>
      <w:r w:rsidR="002E0B36">
        <w:t xml:space="preserve">/Interim </w:t>
      </w:r>
      <w:r w:rsidR="00DD3D36">
        <w:t>Actions</w:t>
      </w:r>
      <w:r w:rsidR="002E0B36">
        <w:t>/Leave</w:t>
      </w:r>
      <w:r w:rsidR="00DD3D36">
        <w:t>s</w:t>
      </w:r>
      <w:bookmarkEnd w:id="44"/>
    </w:p>
    <w:p w14:paraId="7735E99D" w14:textId="77777777" w:rsidR="00043C4C" w:rsidRDefault="00043C4C" w:rsidP="00043C4C"/>
    <w:p w14:paraId="6A28B596" w14:textId="15C40CA6" w:rsidR="00043C4C" w:rsidRDefault="00043C4C" w:rsidP="00F766D9">
      <w:r>
        <w:t xml:space="preserve">The </w:t>
      </w:r>
      <w:r w:rsidRPr="000334A0">
        <w:rPr>
          <w:highlight w:val="lightGray"/>
        </w:rPr>
        <w:t>Recipient</w:t>
      </w:r>
      <w:r>
        <w:t xml:space="preserve"> can act to remove a student Respondent </w:t>
      </w:r>
      <w:r w:rsidR="002E0B36">
        <w:t xml:space="preserve">accused of Sex Discrimination or Sex-based Harassment </w:t>
      </w:r>
      <w:r>
        <w:t>from its education program or activities</w:t>
      </w:r>
      <w:r w:rsidR="00857225">
        <w:t xml:space="preserve">, </w:t>
      </w:r>
      <w:r>
        <w:t>partially or entirely</w:t>
      </w:r>
      <w:r w:rsidR="00857225">
        <w:t xml:space="preserve">, </w:t>
      </w:r>
      <w:r>
        <w:t xml:space="preserve">on an emergency basis when an individualized safety and risk analysis has determined that an immediate threat to the physical health or safety of any student or other individual justifies removal. This risk analysis is performed by the </w:t>
      </w:r>
      <w:r w:rsidRPr="00ED3CAB">
        <w:t xml:space="preserve">Title IX Coordinator and may be done in conjunction with the </w:t>
      </w:r>
      <w:r w:rsidRPr="001C1815">
        <w:rPr>
          <w:highlight w:val="lightGray"/>
        </w:rPr>
        <w:t>Behavioral Intervention Team</w:t>
      </w:r>
      <w:r w:rsidRPr="00ED3CAB">
        <w:t xml:space="preserve"> using its standard objective violence risk assessment procedures</w:t>
      </w:r>
      <w:r w:rsidRPr="00043C4C">
        <w:t>.</w:t>
      </w:r>
      <w:r>
        <w:t xml:space="preserve"> </w:t>
      </w:r>
      <w:r w:rsidR="002E0B36">
        <w:t xml:space="preserve">Employees are subject to existing procedures for interim </w:t>
      </w:r>
      <w:r w:rsidR="00DD3D36">
        <w:t>actions</w:t>
      </w:r>
      <w:r w:rsidR="002E0B36">
        <w:t xml:space="preserve"> and leaves. </w:t>
      </w:r>
      <w:r w:rsidR="00F766D9">
        <w:br/>
      </w:r>
    </w:p>
    <w:p w14:paraId="74C74CFE" w14:textId="5E6F2D46" w:rsidR="004C2653" w:rsidRDefault="004C2653" w:rsidP="00021C70">
      <w:pPr>
        <w:pStyle w:val="Heading1"/>
      </w:pPr>
      <w:bookmarkStart w:id="45" w:name="_Toc168477516"/>
      <w:r>
        <w:t>Federal Timely Warning Obligations</w:t>
      </w:r>
      <w:bookmarkEnd w:id="45"/>
    </w:p>
    <w:p w14:paraId="1CE19028" w14:textId="77777777" w:rsidR="004C2653" w:rsidRDefault="004C2653" w:rsidP="004C2653"/>
    <w:p w14:paraId="146406F5" w14:textId="0C333CBD" w:rsidR="004C2653" w:rsidRDefault="004C2653" w:rsidP="004C2653">
      <w:proofErr w:type="gramStart"/>
      <w:r w:rsidRPr="0013026F">
        <w:rPr>
          <w:highlight w:val="lightGray"/>
        </w:rPr>
        <w:t>Recipient</w:t>
      </w:r>
      <w:proofErr w:type="gramEnd"/>
      <w:r>
        <w:t xml:space="preserve"> must issue timely warnings for reported incidents that pose a serious or continuing threat of bodily harm or danger to members of the </w:t>
      </w:r>
      <w:r w:rsidRPr="0091243B">
        <w:rPr>
          <w:highlight w:val="lightGray"/>
        </w:rPr>
        <w:t>Recipient</w:t>
      </w:r>
      <w:r>
        <w:t xml:space="preserve"> community. </w:t>
      </w:r>
    </w:p>
    <w:p w14:paraId="5C6B8FDD" w14:textId="77777777" w:rsidR="004C2653" w:rsidRDefault="004C2653" w:rsidP="004C2653"/>
    <w:p w14:paraId="257AE73B" w14:textId="77777777" w:rsidR="004C2653" w:rsidRDefault="004C2653" w:rsidP="004C2653">
      <w:r>
        <w:t xml:space="preserve">The </w:t>
      </w:r>
      <w:r w:rsidRPr="0013026F">
        <w:rPr>
          <w:highlight w:val="lightGray"/>
        </w:rPr>
        <w:t>Recipient</w:t>
      </w:r>
      <w:r>
        <w:t xml:space="preserve"> will ensure that a Complainant’s name and other identifying information is not disclosed, while still providing enough information for community members to make safety decisions </w:t>
      </w:r>
      <w:proofErr w:type="gramStart"/>
      <w:r>
        <w:t>in light of</w:t>
      </w:r>
      <w:proofErr w:type="gramEnd"/>
      <w:r>
        <w:t xml:space="preserve"> the potential danger.</w:t>
      </w:r>
    </w:p>
    <w:p w14:paraId="4201C010" w14:textId="77777777" w:rsidR="007B1820" w:rsidRDefault="007B1820" w:rsidP="004C2653"/>
    <w:p w14:paraId="4BA012EE" w14:textId="77777777" w:rsidR="004C2653" w:rsidRDefault="004C2653" w:rsidP="00021C70">
      <w:pPr>
        <w:pStyle w:val="Heading1"/>
      </w:pPr>
      <w:bookmarkStart w:id="46" w:name="_Toc168477517"/>
      <w:r>
        <w:t>Amnesty</w:t>
      </w:r>
      <w:bookmarkEnd w:id="46"/>
    </w:p>
    <w:p w14:paraId="5703047C" w14:textId="77777777" w:rsidR="004C2653" w:rsidRDefault="004C2653" w:rsidP="004C2653"/>
    <w:p w14:paraId="29CFE296" w14:textId="231FED80" w:rsidR="004C2653" w:rsidRDefault="004C2653" w:rsidP="004C2653">
      <w:r>
        <w:t xml:space="preserve">The </w:t>
      </w:r>
      <w:r w:rsidRPr="0013026F">
        <w:rPr>
          <w:highlight w:val="lightGray"/>
        </w:rPr>
        <w:t>Recipient</w:t>
      </w:r>
      <w:r>
        <w:t xml:space="preserve"> community encourages the reporting of misconduct and crimes by Complainants and witnesses. Sometimes, Complainants or witnesses are hesitant to </w:t>
      </w:r>
      <w:r w:rsidR="00CF41EE">
        <w:t xml:space="preserve">give Notice </w:t>
      </w:r>
      <w:r>
        <w:t xml:space="preserve">to </w:t>
      </w:r>
      <w:r w:rsidRPr="0013026F">
        <w:rPr>
          <w:highlight w:val="lightGray"/>
        </w:rPr>
        <w:t>Recipient</w:t>
      </w:r>
      <w:r>
        <w:t xml:space="preserve"> officials or participate in resolution processes because they fear that they themselves may be in violation of certain policies, such as underage drinking or use of illicit drugs at the time of the incident. Respondents may hesitate to be forthcoming during the process for the same reasons.</w:t>
      </w:r>
    </w:p>
    <w:p w14:paraId="273470A8" w14:textId="77777777" w:rsidR="004C2653" w:rsidRDefault="004C2653" w:rsidP="004C2653"/>
    <w:p w14:paraId="21D2A08B" w14:textId="2E8CA893" w:rsidR="004C2653" w:rsidRDefault="004C2653" w:rsidP="004C2653">
      <w:r>
        <w:lastRenderedPageBreak/>
        <w:t xml:space="preserve">It is in the best interests of the </w:t>
      </w:r>
      <w:r w:rsidRPr="0013026F">
        <w:rPr>
          <w:highlight w:val="lightGray"/>
        </w:rPr>
        <w:t>Recipient</w:t>
      </w:r>
      <w:r>
        <w:t xml:space="preserve"> community that Complainants choose to </w:t>
      </w:r>
      <w:r w:rsidR="00CF41EE">
        <w:t xml:space="preserve">give Notice of </w:t>
      </w:r>
      <w:r>
        <w:t xml:space="preserve">misconduct to </w:t>
      </w:r>
      <w:r w:rsidRPr="0013026F">
        <w:rPr>
          <w:highlight w:val="lightGray"/>
        </w:rPr>
        <w:t>Recipient</w:t>
      </w:r>
      <w:r>
        <w:t xml:space="preserve"> officials, that witnesses come forward to share what they know, and that all </w:t>
      </w:r>
      <w:r w:rsidR="0028631C">
        <w:t>Parties</w:t>
      </w:r>
      <w:r>
        <w:t xml:space="preserve"> be forthcoming during the process. </w:t>
      </w:r>
    </w:p>
    <w:p w14:paraId="2865C139" w14:textId="77777777" w:rsidR="004C2653" w:rsidRDefault="004C2653" w:rsidP="004C2653"/>
    <w:p w14:paraId="01149FCD" w14:textId="58B0617F" w:rsidR="004C2653" w:rsidRDefault="004C2653" w:rsidP="004C2653">
      <w:r>
        <w:t xml:space="preserve">To encourage reporting and participation in the process, </w:t>
      </w:r>
      <w:r w:rsidRPr="0013026F">
        <w:rPr>
          <w:highlight w:val="lightGray"/>
        </w:rPr>
        <w:t>Recipient</w:t>
      </w:r>
      <w:r>
        <w:t xml:space="preserve"> maintains a </w:t>
      </w:r>
      <w:r w:rsidR="00D715ED">
        <w:t>P</w:t>
      </w:r>
      <w:r>
        <w:t xml:space="preserve">olicy of offering </w:t>
      </w:r>
      <w:r w:rsidR="0028631C">
        <w:t>Parties</w:t>
      </w:r>
      <w:r>
        <w:t xml:space="preserve"> and witnesses </w:t>
      </w:r>
      <w:r w:rsidR="00877150">
        <w:t>a</w:t>
      </w:r>
      <w:r>
        <w:t>mnesty from minor policy violations</w:t>
      </w:r>
      <w:r w:rsidR="008661E9">
        <w:t xml:space="preserve">, </w:t>
      </w:r>
      <w:r>
        <w:t>such as underage alcohol consumption or the use of illicit drugs</w:t>
      </w:r>
      <w:r w:rsidR="00E205AA">
        <w:t xml:space="preserve">, </w:t>
      </w:r>
      <w:r>
        <w:t xml:space="preserve">related to the incident. </w:t>
      </w:r>
      <w:r w:rsidR="002C7BAC">
        <w:t xml:space="preserve">Granting </w:t>
      </w:r>
      <w:r w:rsidR="00877150">
        <w:t>a</w:t>
      </w:r>
      <w:r w:rsidR="002C7BAC">
        <w:t xml:space="preserve">mnesty is a discretionary decision made by the </w:t>
      </w:r>
      <w:r w:rsidR="002C7BAC" w:rsidRPr="00ED3CAB">
        <w:rPr>
          <w:highlight w:val="lightGray"/>
        </w:rPr>
        <w:t>Recipient</w:t>
      </w:r>
      <w:r w:rsidR="000975C2">
        <w:t>,</w:t>
      </w:r>
      <w:r w:rsidR="002C7BAC">
        <w:t xml:space="preserve"> and </w:t>
      </w:r>
      <w:r w:rsidR="00877150">
        <w:t>a</w:t>
      </w:r>
      <w:r>
        <w:t>mnesty does not apply to more serious allegations</w:t>
      </w:r>
      <w:r w:rsidR="003F5ED7">
        <w:t>,</w:t>
      </w:r>
      <w:r>
        <w:t xml:space="preserve"> such as physical abuse of another or illicit drug distribution. </w:t>
      </w:r>
    </w:p>
    <w:p w14:paraId="0F43236A" w14:textId="77777777" w:rsidR="004C2653" w:rsidRPr="0013026F" w:rsidRDefault="004C2653" w:rsidP="004C2653"/>
    <w:p w14:paraId="1DB245DE" w14:textId="77777777" w:rsidR="004C2653" w:rsidRDefault="004C2653" w:rsidP="004C2653">
      <w:pPr>
        <w:pStyle w:val="Heading2"/>
      </w:pPr>
      <w:bookmarkStart w:id="47" w:name="_Toc168477518"/>
      <w:r>
        <w:t>Students</w:t>
      </w:r>
      <w:bookmarkEnd w:id="47"/>
    </w:p>
    <w:p w14:paraId="60685770" w14:textId="28110117" w:rsidR="004C2653" w:rsidRDefault="004C2653" w:rsidP="004C2653">
      <w:pPr>
        <w:ind w:left="720"/>
      </w:pPr>
    </w:p>
    <w:p w14:paraId="1DEF4792" w14:textId="6BA4DEB6" w:rsidR="004C2653" w:rsidRPr="00C679FD" w:rsidRDefault="004C2653" w:rsidP="004C2653">
      <w:pPr>
        <w:ind w:left="720"/>
      </w:pPr>
      <w:r w:rsidRPr="00ED3CAB">
        <w:t xml:space="preserve">The </w:t>
      </w:r>
      <w:r w:rsidRPr="00AF4053">
        <w:rPr>
          <w:highlight w:val="lightGray"/>
        </w:rPr>
        <w:t>Recipient</w:t>
      </w:r>
      <w:r w:rsidRPr="00ED3CAB">
        <w:t xml:space="preserve"> maintains an </w:t>
      </w:r>
      <w:r w:rsidR="00877150">
        <w:t>a</w:t>
      </w:r>
      <w:r w:rsidRPr="00ED3CAB">
        <w:t xml:space="preserve">mnesty </w:t>
      </w:r>
      <w:r w:rsidR="00877150">
        <w:t>p</w:t>
      </w:r>
      <w:r w:rsidRPr="00ED3CAB">
        <w:t xml:space="preserve">olicy for students who offer help to others in need. </w:t>
      </w:r>
    </w:p>
    <w:p w14:paraId="77F0C994" w14:textId="77777777" w:rsidR="004C2653" w:rsidRPr="00C679FD" w:rsidRDefault="004C2653" w:rsidP="004C2653">
      <w:pPr>
        <w:ind w:left="720"/>
      </w:pPr>
    </w:p>
    <w:p w14:paraId="7F996462" w14:textId="3593A041" w:rsidR="004C2653" w:rsidRPr="00ED3CAB" w:rsidRDefault="004C2653" w:rsidP="004C2653">
      <w:pPr>
        <w:pStyle w:val="Heading2"/>
      </w:pPr>
      <w:bookmarkStart w:id="48" w:name="_Toc168477519"/>
      <w:r w:rsidRPr="00ED3CAB">
        <w:t>Employees</w:t>
      </w:r>
      <w:bookmarkEnd w:id="48"/>
    </w:p>
    <w:p w14:paraId="3AACF438" w14:textId="77777777" w:rsidR="004C2653" w:rsidRPr="00ED3CAB" w:rsidRDefault="004C2653" w:rsidP="004C2653"/>
    <w:p w14:paraId="31967E57" w14:textId="40BFB97C" w:rsidR="004C2653" w:rsidRDefault="004C2653" w:rsidP="00880228">
      <w:pPr>
        <w:ind w:left="720"/>
      </w:pPr>
      <w:r w:rsidRPr="00ED3CAB">
        <w:t xml:space="preserve">Sometimes, employees are hesitant to report discrimination, </w:t>
      </w:r>
      <w:r w:rsidR="00D13BFE">
        <w:t xml:space="preserve">harassment, </w:t>
      </w:r>
      <w:r w:rsidRPr="00ED3CAB">
        <w:t xml:space="preserve">or retaliation they have experienced for fear </w:t>
      </w:r>
      <w:r w:rsidR="009E3AED">
        <w:t>of getting</w:t>
      </w:r>
      <w:r w:rsidRPr="00ED3CAB">
        <w:t xml:space="preserve"> in trouble themselves. The </w:t>
      </w:r>
      <w:r w:rsidRPr="00AF4053">
        <w:rPr>
          <w:highlight w:val="lightGray"/>
        </w:rPr>
        <w:t>Recipient</w:t>
      </w:r>
      <w:r w:rsidRPr="00ED3CAB">
        <w:t xml:space="preserve"> may, at its discretion, offer employee Complainants </w:t>
      </w:r>
      <w:r w:rsidR="00877150">
        <w:t>a</w:t>
      </w:r>
      <w:r w:rsidRPr="00ED3CAB">
        <w:t xml:space="preserve">mnesty from such policy violations (typically more minor policy violations) related to the incident. </w:t>
      </w:r>
      <w:r w:rsidR="00877150">
        <w:t>a</w:t>
      </w:r>
      <w:r w:rsidRPr="00ED3CAB">
        <w:t>mnesty may also be granted to Respondents and witnesses on a case-by-case basis.</w:t>
      </w:r>
    </w:p>
    <w:p w14:paraId="166A6716" w14:textId="77777777" w:rsidR="00D11A8C" w:rsidRDefault="00D11A8C" w:rsidP="004C2653"/>
    <w:p w14:paraId="5E2133B1" w14:textId="77777777" w:rsidR="0059305B" w:rsidRDefault="0059305B" w:rsidP="0059305B">
      <w:pPr>
        <w:pStyle w:val="Heading1"/>
      </w:pPr>
      <w:bookmarkStart w:id="49" w:name="_Toc102393967"/>
      <w:bookmarkStart w:id="50" w:name="_Toc168477520"/>
      <w:r>
        <w:t>Preservation of Evidence</w:t>
      </w:r>
      <w:bookmarkEnd w:id="49"/>
      <w:bookmarkEnd w:id="50"/>
    </w:p>
    <w:p w14:paraId="3AC8FA79" w14:textId="77777777" w:rsidR="0059305B" w:rsidRDefault="0059305B" w:rsidP="0059305B"/>
    <w:p w14:paraId="4B3DC062" w14:textId="2D5F462B" w:rsidR="0059305B" w:rsidRDefault="0059305B" w:rsidP="0059305B">
      <w:r>
        <w:t>The preservation of evidence is critical to potential criminal prosecution and to obtaining restraining/protective orders</w:t>
      </w:r>
      <w:r w:rsidR="00BD2E5A">
        <w:t>,</w:t>
      </w:r>
      <w:r>
        <w:t xml:space="preserve"> and</w:t>
      </w:r>
      <w:r w:rsidR="00BD2E5A">
        <w:t xml:space="preserve"> it</w:t>
      </w:r>
      <w:r>
        <w:t xml:space="preserve"> is particularly time</w:t>
      </w:r>
      <w:r w:rsidR="00436000">
        <w:t xml:space="preserve"> </w:t>
      </w:r>
      <w:r>
        <w:t xml:space="preserve">sensitive. The </w:t>
      </w:r>
      <w:r w:rsidRPr="00B30BB5">
        <w:rPr>
          <w:highlight w:val="lightGray"/>
        </w:rPr>
        <w:t>Recipient</w:t>
      </w:r>
      <w:r>
        <w:t xml:space="preserve"> will inform the Complainant of the importance of preserving evidence by taking actions such as the following:</w:t>
      </w:r>
    </w:p>
    <w:p w14:paraId="1B0A53EF" w14:textId="77777777" w:rsidR="0059305B" w:rsidRDefault="0059305B" w:rsidP="0059305B"/>
    <w:p w14:paraId="7642B39D" w14:textId="77777777" w:rsidR="0059305B" w:rsidRPr="00AF4053" w:rsidRDefault="0059305B" w:rsidP="0059305B">
      <w:pPr>
        <w:rPr>
          <w:u w:val="single"/>
        </w:rPr>
      </w:pPr>
      <w:r w:rsidRPr="00AF4053">
        <w:rPr>
          <w:u w:val="single"/>
        </w:rPr>
        <w:t>Sexual Assault</w:t>
      </w:r>
    </w:p>
    <w:p w14:paraId="77F18C49" w14:textId="4CD683DC" w:rsidR="0059305B" w:rsidRDefault="0059305B" w:rsidP="005521DD">
      <w:pPr>
        <w:pStyle w:val="ListParagraph"/>
        <w:numPr>
          <w:ilvl w:val="0"/>
          <w:numId w:val="14"/>
        </w:numPr>
      </w:pPr>
      <w:r>
        <w:t xml:space="preserve">Seek forensic medical assistance at the </w:t>
      </w:r>
      <w:r w:rsidR="00A1407E">
        <w:t>nearest</w:t>
      </w:r>
      <w:r>
        <w:t xml:space="preserve"> hospital, ideally within 120 hours of the incident (sooner is better).</w:t>
      </w:r>
    </w:p>
    <w:p w14:paraId="089FCF46" w14:textId="77777777" w:rsidR="0059305B" w:rsidRDefault="0059305B" w:rsidP="005521DD">
      <w:pPr>
        <w:pStyle w:val="ListParagraph"/>
        <w:numPr>
          <w:ilvl w:val="0"/>
          <w:numId w:val="14"/>
        </w:numPr>
      </w:pPr>
      <w:r>
        <w:t>Avoid urinating, showering, bathing, washing hands or face, or douching, if possible, but evidence may still be collected even if you do.</w:t>
      </w:r>
    </w:p>
    <w:p w14:paraId="75DF628E" w14:textId="77777777" w:rsidR="0059305B" w:rsidRDefault="0059305B" w:rsidP="005521DD">
      <w:pPr>
        <w:pStyle w:val="ListParagraph"/>
        <w:numPr>
          <w:ilvl w:val="0"/>
          <w:numId w:val="14"/>
        </w:numPr>
      </w:pPr>
      <w:r>
        <w:t>If oral sexual contact took place, refrain from smoking, eating, drinking, or brushing teeth.</w:t>
      </w:r>
    </w:p>
    <w:p w14:paraId="15D4CF49" w14:textId="05AE506A" w:rsidR="0059305B" w:rsidRDefault="0059305B" w:rsidP="005521DD">
      <w:pPr>
        <w:pStyle w:val="ListParagraph"/>
        <w:numPr>
          <w:ilvl w:val="0"/>
          <w:numId w:val="14"/>
        </w:numPr>
      </w:pPr>
      <w:r>
        <w:t xml:space="preserve">If clothes are changed, place soiled clothes in a paper bag (plastic destroys evidence) or </w:t>
      </w:r>
      <w:r w:rsidR="00A1407E">
        <w:t xml:space="preserve">a </w:t>
      </w:r>
      <w:r>
        <w:t xml:space="preserve">secure evidence container </w:t>
      </w:r>
      <w:r w:rsidR="00A1407E">
        <w:t>(if provided one by law enforcement)</w:t>
      </w:r>
    </w:p>
    <w:p w14:paraId="2020D400" w14:textId="4FE42764" w:rsidR="0059305B" w:rsidRDefault="0059305B" w:rsidP="005521DD">
      <w:pPr>
        <w:pStyle w:val="ListParagraph"/>
        <w:numPr>
          <w:ilvl w:val="0"/>
          <w:numId w:val="14"/>
        </w:numPr>
      </w:pPr>
      <w:r>
        <w:t>Seeking medical treatment can be essential</w:t>
      </w:r>
      <w:r w:rsidR="00BD2E5A">
        <w:t>,</w:t>
      </w:r>
      <w:r>
        <w:t xml:space="preserve"> even if it is not for the </w:t>
      </w:r>
      <w:proofErr w:type="gramStart"/>
      <w:r>
        <w:t>purposes</w:t>
      </w:r>
      <w:proofErr w:type="gramEnd"/>
      <w:r>
        <w:t xml:space="preserve"> of collecting forensic evidence. </w:t>
      </w:r>
    </w:p>
    <w:p w14:paraId="2671CB7C" w14:textId="77777777" w:rsidR="0059305B" w:rsidRDefault="0059305B" w:rsidP="0059305B"/>
    <w:p w14:paraId="2EBBBD5F" w14:textId="77777777" w:rsidR="006E024D" w:rsidRDefault="006E024D" w:rsidP="0059305B">
      <w:pPr>
        <w:rPr>
          <w:u w:val="single"/>
        </w:rPr>
      </w:pPr>
    </w:p>
    <w:p w14:paraId="48F787ED" w14:textId="77777777" w:rsidR="006E024D" w:rsidRDefault="006E024D" w:rsidP="0059305B">
      <w:pPr>
        <w:rPr>
          <w:u w:val="single"/>
        </w:rPr>
      </w:pPr>
    </w:p>
    <w:p w14:paraId="6C6F0707" w14:textId="77777777" w:rsidR="006E024D" w:rsidRDefault="006E024D" w:rsidP="0059305B">
      <w:pPr>
        <w:rPr>
          <w:u w:val="single"/>
        </w:rPr>
      </w:pPr>
    </w:p>
    <w:p w14:paraId="76981276" w14:textId="3B9A664F" w:rsidR="0059305B" w:rsidRPr="00AF4053" w:rsidRDefault="0059305B" w:rsidP="0059305B">
      <w:pPr>
        <w:rPr>
          <w:u w:val="single"/>
        </w:rPr>
      </w:pPr>
      <w:r w:rsidRPr="00AF4053">
        <w:rPr>
          <w:u w:val="single"/>
        </w:rPr>
        <w:lastRenderedPageBreak/>
        <w:t>Stalking/Dating Violence/Domestic Violence/Sex-</w:t>
      </w:r>
      <w:r w:rsidR="00877150">
        <w:rPr>
          <w:u w:val="single"/>
        </w:rPr>
        <w:t>B</w:t>
      </w:r>
      <w:r w:rsidRPr="00AF4053">
        <w:rPr>
          <w:u w:val="single"/>
        </w:rPr>
        <w:t>ased Harassment</w:t>
      </w:r>
    </w:p>
    <w:p w14:paraId="43091E78" w14:textId="77777777" w:rsidR="0059305B" w:rsidRPr="00CA36F6" w:rsidRDefault="0059305B" w:rsidP="005521DD">
      <w:pPr>
        <w:pStyle w:val="ListParagraph"/>
        <w:numPr>
          <w:ilvl w:val="0"/>
          <w:numId w:val="15"/>
        </w:numPr>
        <w:contextualSpacing w:val="0"/>
      </w:pPr>
      <w:r w:rsidRPr="00CA36F6">
        <w:t>Evidence in the form of text and voice messages will be lost in most cases if the Complainant changes their phone number.</w:t>
      </w:r>
    </w:p>
    <w:p w14:paraId="4FE2C71F" w14:textId="77777777" w:rsidR="0059305B" w:rsidRPr="00CA36F6" w:rsidRDefault="0059305B" w:rsidP="005521DD">
      <w:pPr>
        <w:pStyle w:val="ListParagraph"/>
        <w:numPr>
          <w:ilvl w:val="1"/>
          <w:numId w:val="15"/>
        </w:numPr>
        <w:contextualSpacing w:val="0"/>
      </w:pPr>
      <w:r w:rsidRPr="00CA36F6">
        <w:t>Make a secondary recording of any voice messages and/or save the audio files to a cloud server.</w:t>
      </w:r>
    </w:p>
    <w:p w14:paraId="49FDCED2" w14:textId="77777777" w:rsidR="0059305B" w:rsidRPr="00CA36F6" w:rsidRDefault="0059305B" w:rsidP="005521DD">
      <w:pPr>
        <w:pStyle w:val="ListParagraph"/>
        <w:numPr>
          <w:ilvl w:val="1"/>
          <w:numId w:val="15"/>
        </w:numPr>
        <w:contextualSpacing w:val="0"/>
      </w:pPr>
      <w:r w:rsidRPr="00CA36F6">
        <w:t>Take screenshots and/or a video recording of any text messages or other electronic messages (e.g., Instagram, Snapchat, Facebook).</w:t>
      </w:r>
    </w:p>
    <w:p w14:paraId="28F430F9" w14:textId="2D53B087" w:rsidR="0059305B" w:rsidRPr="00CA36F6" w:rsidRDefault="0059305B" w:rsidP="005521DD">
      <w:pPr>
        <w:pStyle w:val="ListParagraph"/>
        <w:numPr>
          <w:ilvl w:val="0"/>
          <w:numId w:val="15"/>
        </w:numPr>
        <w:contextualSpacing w:val="0"/>
      </w:pPr>
      <w:r w:rsidRPr="00CA36F6">
        <w:t xml:space="preserve">Save copies of email </w:t>
      </w:r>
      <w:r>
        <w:t xml:space="preserve">and social media </w:t>
      </w:r>
      <w:r w:rsidRPr="00CA36F6">
        <w:t>correspondence, including notifications related to account access alerts.</w:t>
      </w:r>
    </w:p>
    <w:p w14:paraId="3B077C66" w14:textId="6AFC541C" w:rsidR="0059305B" w:rsidRPr="00CA36F6" w:rsidRDefault="0059305B" w:rsidP="005521DD">
      <w:pPr>
        <w:pStyle w:val="ListParagraph"/>
        <w:numPr>
          <w:ilvl w:val="0"/>
          <w:numId w:val="15"/>
        </w:numPr>
        <w:contextualSpacing w:val="0"/>
      </w:pPr>
      <w:r w:rsidRPr="00CA36F6">
        <w:t xml:space="preserve">Take </w:t>
      </w:r>
      <w:proofErr w:type="gramStart"/>
      <w:r w:rsidRPr="00CA36F6">
        <w:t>timestamped</w:t>
      </w:r>
      <w:proofErr w:type="gramEnd"/>
      <w:r w:rsidRPr="00CA36F6">
        <w:t xml:space="preserve"> photographs of any physical evidence</w:t>
      </w:r>
      <w:r w:rsidR="00EC6BF8">
        <w:t>,</w:t>
      </w:r>
      <w:r w:rsidRPr="00CA36F6">
        <w:t xml:space="preserve"> including notes, gifts, etc.</w:t>
      </w:r>
      <w:r w:rsidR="00EC6BF8">
        <w:t>,</w:t>
      </w:r>
      <w:r w:rsidRPr="00CA36F6">
        <w:t xml:space="preserve"> in place when possible.</w:t>
      </w:r>
    </w:p>
    <w:p w14:paraId="293C3AE2" w14:textId="7EA80973" w:rsidR="0059305B" w:rsidRPr="00CA36F6" w:rsidRDefault="0059305B" w:rsidP="005521DD">
      <w:pPr>
        <w:pStyle w:val="ListParagraph"/>
        <w:numPr>
          <w:ilvl w:val="0"/>
          <w:numId w:val="15"/>
        </w:numPr>
        <w:contextualSpacing w:val="0"/>
      </w:pPr>
      <w:r w:rsidRPr="00CA36F6">
        <w:t>Save copies of any messages</w:t>
      </w:r>
      <w:r>
        <w:t xml:space="preserve">, </w:t>
      </w:r>
      <w:r w:rsidR="004D5040">
        <w:t>including</w:t>
      </w:r>
      <w:r>
        <w:t xml:space="preserve"> those</w:t>
      </w:r>
      <w:r w:rsidRPr="00CA36F6">
        <w:t xml:space="preserve"> showing a</w:t>
      </w:r>
      <w:r>
        <w:t>ny</w:t>
      </w:r>
      <w:r w:rsidRPr="00CA36F6">
        <w:t xml:space="preserve"> request for no further contact.</w:t>
      </w:r>
    </w:p>
    <w:p w14:paraId="06ABC42D" w14:textId="77777777" w:rsidR="0059305B" w:rsidRPr="00CA36F6" w:rsidRDefault="0059305B" w:rsidP="005521DD">
      <w:pPr>
        <w:pStyle w:val="ListParagraph"/>
        <w:numPr>
          <w:ilvl w:val="0"/>
          <w:numId w:val="15"/>
        </w:numPr>
        <w:contextualSpacing w:val="0"/>
      </w:pPr>
      <w:r w:rsidRPr="00CA36F6">
        <w:t>Obtain copies of call logs showing the specific phone number being used rather than a saved contact name if possible.</w:t>
      </w:r>
    </w:p>
    <w:p w14:paraId="06919E2F" w14:textId="77777777" w:rsidR="0059305B" w:rsidRDefault="0059305B" w:rsidP="0059305B"/>
    <w:p w14:paraId="33DDF32D" w14:textId="0246D195" w:rsidR="0059305B" w:rsidRDefault="0059305B" w:rsidP="001C1815">
      <w:r>
        <w:t xml:space="preserve">During the initial meeting between the Complainant and </w:t>
      </w:r>
      <w:r w:rsidRPr="00ED3CAB">
        <w:rPr>
          <w:highlight w:val="lightGray"/>
        </w:rPr>
        <w:t>Administrator</w:t>
      </w:r>
      <w:r>
        <w:t>, the importance of taking these actions will be discussed, if timely.</w:t>
      </w:r>
    </w:p>
    <w:p w14:paraId="32661B06" w14:textId="77777777" w:rsidR="001C1815" w:rsidRPr="001C1815" w:rsidRDefault="001C1815" w:rsidP="00ED3CAB"/>
    <w:p w14:paraId="6AB57783" w14:textId="44C77B9C" w:rsidR="00115ED2" w:rsidRDefault="00115ED2" w:rsidP="00021C70">
      <w:pPr>
        <w:pStyle w:val="Heading1"/>
      </w:pPr>
      <w:bookmarkStart w:id="51" w:name="_Toc168477521"/>
      <w:r>
        <w:t>Federal Statistical Reporting Obligations</w:t>
      </w:r>
      <w:bookmarkEnd w:id="51"/>
    </w:p>
    <w:p w14:paraId="4EB6DE4A" w14:textId="77777777" w:rsidR="00115ED2" w:rsidRDefault="00115ED2" w:rsidP="00115ED2"/>
    <w:p w14:paraId="587AA6D5" w14:textId="28C077BA" w:rsidR="00115ED2" w:rsidRDefault="00115ED2" w:rsidP="00115ED2">
      <w:r>
        <w:t>Certain institutional officials</w:t>
      </w:r>
      <w:r w:rsidR="00BE28F7">
        <w:t xml:space="preserve"> (</w:t>
      </w:r>
      <w:r>
        <w:t>those deemed Campus Security Authorities</w:t>
      </w:r>
      <w:r w:rsidR="00BE28F7">
        <w:t xml:space="preserve">) </w:t>
      </w:r>
      <w:r>
        <w:t>have a duty to report the following for federal statistical reporting purposes (Clery Act):</w:t>
      </w:r>
    </w:p>
    <w:p w14:paraId="745F0D12" w14:textId="77777777" w:rsidR="00115ED2" w:rsidRDefault="00115ED2" w:rsidP="00115ED2"/>
    <w:p w14:paraId="7D85679E" w14:textId="02186746" w:rsidR="00115ED2" w:rsidRDefault="00115ED2" w:rsidP="005521DD">
      <w:pPr>
        <w:pStyle w:val="ListParagraph"/>
        <w:numPr>
          <w:ilvl w:val="0"/>
          <w:numId w:val="13"/>
        </w:numPr>
      </w:pPr>
      <w:r>
        <w:t xml:space="preserve">All “primary crimes,” which include criminal homicide, </w:t>
      </w:r>
      <w:r w:rsidR="00C82B32">
        <w:t>sexual assault</w:t>
      </w:r>
      <w:r>
        <w:t>, robbery, aggravated assault, burglary, motor vehicle theft, and arson</w:t>
      </w:r>
    </w:p>
    <w:p w14:paraId="01E510D0" w14:textId="77777777" w:rsidR="00115ED2" w:rsidRDefault="00115ED2" w:rsidP="005521DD">
      <w:pPr>
        <w:pStyle w:val="ListParagraph"/>
        <w:numPr>
          <w:ilvl w:val="0"/>
          <w:numId w:val="13"/>
        </w:numPr>
      </w:pPr>
      <w:r>
        <w:t>Hate crimes, which include any bias-motivated primary crime as well as any bias-motivated larceny or theft, simple assault, intimidation, or destruction/damage/vandalism of property</w:t>
      </w:r>
    </w:p>
    <w:p w14:paraId="4BC2AB24" w14:textId="141921FC" w:rsidR="00115ED2" w:rsidRDefault="001C1815" w:rsidP="005521DD">
      <w:pPr>
        <w:pStyle w:val="ListParagraph"/>
        <w:numPr>
          <w:ilvl w:val="0"/>
          <w:numId w:val="13"/>
        </w:numPr>
      </w:pPr>
      <w:r>
        <w:t>Violence Against Women Act (</w:t>
      </w:r>
      <w:r w:rsidR="00115ED2">
        <w:t>VAWA-based crimes</w:t>
      </w:r>
      <w:r>
        <w:t>)</w:t>
      </w:r>
      <w:r w:rsidR="00115ED2">
        <w:t>, which include sexual assault, domestic violence, dating violence, and stalking</w:t>
      </w:r>
      <w:r w:rsidR="00115ED2">
        <w:rPr>
          <w:rStyle w:val="FootnoteReference"/>
        </w:rPr>
        <w:footnoteReference w:id="21"/>
      </w:r>
    </w:p>
    <w:p w14:paraId="062C6B09" w14:textId="57E9B119" w:rsidR="00115ED2" w:rsidRDefault="00115ED2" w:rsidP="005521DD">
      <w:pPr>
        <w:pStyle w:val="ListParagraph"/>
        <w:numPr>
          <w:ilvl w:val="0"/>
          <w:numId w:val="13"/>
        </w:numPr>
      </w:pPr>
      <w:r>
        <w:t>Arrests and referrals for disciplinary action for weapons law violations, liquor law violations, and drug law violations</w:t>
      </w:r>
    </w:p>
    <w:p w14:paraId="7112F269" w14:textId="77777777" w:rsidR="00115ED2" w:rsidRDefault="00115ED2" w:rsidP="00115ED2"/>
    <w:p w14:paraId="390E8B36" w14:textId="3B1854AF" w:rsidR="00115ED2" w:rsidRDefault="00115ED2" w:rsidP="00F766D9">
      <w:r>
        <w:t>All personally identifiable information is kept private, but statistical information regarding the type of incident and its general location (on</w:t>
      </w:r>
      <w:r w:rsidR="00E2632B">
        <w:t>-</w:t>
      </w:r>
      <w:r>
        <w:t xml:space="preserve"> or off</w:t>
      </w:r>
      <w:r w:rsidR="00E2632B">
        <w:t>-</w:t>
      </w:r>
      <w:r>
        <w:t xml:space="preserve">campus or in the surrounding area, but no addresses are given) must be shared with </w:t>
      </w:r>
      <w:r w:rsidRPr="00942938">
        <w:rPr>
          <w:highlight w:val="lightGray"/>
        </w:rPr>
        <w:t>Clery Coordinator</w:t>
      </w:r>
      <w:r>
        <w:t xml:space="preserve"> for publication in the Annual Security Report and daily campus crime log. Campus Security Authorities include</w:t>
      </w:r>
      <w:r w:rsidRPr="00C679FD">
        <w:t xml:space="preserve"> </w:t>
      </w:r>
      <w:r w:rsidR="00877150">
        <w:t>s</w:t>
      </w:r>
      <w:r w:rsidRPr="00ED3CAB">
        <w:t xml:space="preserve">tudent </w:t>
      </w:r>
      <w:r w:rsidR="00877150">
        <w:t>a</w:t>
      </w:r>
      <w:r w:rsidRPr="00ED3CAB">
        <w:t>ffairs/</w:t>
      </w:r>
      <w:r w:rsidR="00877150">
        <w:t>s</w:t>
      </w:r>
      <w:r w:rsidRPr="00ED3CAB">
        <w:t xml:space="preserve">tudent </w:t>
      </w:r>
      <w:r w:rsidR="00877150">
        <w:t>c</w:t>
      </w:r>
      <w:r w:rsidRPr="00ED3CAB">
        <w:t xml:space="preserve">onduct staff, </w:t>
      </w:r>
      <w:r w:rsidR="00877150">
        <w:t>c</w:t>
      </w:r>
      <w:r w:rsidRPr="00ED3CAB">
        <w:t xml:space="preserve">ampus </w:t>
      </w:r>
      <w:r w:rsidR="00877150">
        <w:t>l</w:t>
      </w:r>
      <w:r w:rsidRPr="00ED3CAB">
        <w:t xml:space="preserve">aw </w:t>
      </w:r>
      <w:r w:rsidR="00877150">
        <w:t>e</w:t>
      </w:r>
      <w:r w:rsidRPr="00ED3CAB">
        <w:t>nforcement/</w:t>
      </w:r>
      <w:r w:rsidR="00877150">
        <w:t>p</w:t>
      </w:r>
      <w:r w:rsidRPr="00ED3CAB">
        <w:t xml:space="preserve">ublic </w:t>
      </w:r>
      <w:r w:rsidR="00877150">
        <w:t>s</w:t>
      </w:r>
      <w:r w:rsidRPr="00ED3CAB">
        <w:t xml:space="preserve">afety/security, local </w:t>
      </w:r>
      <w:r w:rsidR="00877150">
        <w:t>p</w:t>
      </w:r>
      <w:r w:rsidRPr="00ED3CAB">
        <w:t xml:space="preserve">olice, coaches, </w:t>
      </w:r>
      <w:r w:rsidR="00877150">
        <w:t>a</w:t>
      </w:r>
      <w:r w:rsidRPr="00ED3CAB">
        <w:t xml:space="preserve">thletic </w:t>
      </w:r>
      <w:r w:rsidR="00877150">
        <w:t>d</w:t>
      </w:r>
      <w:r w:rsidRPr="00ED3CAB">
        <w:t xml:space="preserve">irectors, </w:t>
      </w:r>
      <w:r w:rsidR="00877150">
        <w:t>r</w:t>
      </w:r>
      <w:r w:rsidRPr="00ED3CAB">
        <w:t xml:space="preserve">esidence </w:t>
      </w:r>
      <w:r w:rsidR="00877150">
        <w:t>l</w:t>
      </w:r>
      <w:r w:rsidRPr="00ED3CAB">
        <w:t xml:space="preserve">ife staff, </w:t>
      </w:r>
      <w:r w:rsidR="00877150">
        <w:t>s</w:t>
      </w:r>
      <w:r w:rsidRPr="00ED3CAB">
        <w:t xml:space="preserve">tudent </w:t>
      </w:r>
      <w:r w:rsidR="00877150">
        <w:t>a</w:t>
      </w:r>
      <w:r w:rsidRPr="00ED3CAB">
        <w:t xml:space="preserve">ctivities staff, </w:t>
      </w:r>
      <w:r w:rsidR="00877150">
        <w:t>h</w:t>
      </w:r>
      <w:r w:rsidRPr="00ED3CAB">
        <w:t xml:space="preserve">uman </w:t>
      </w:r>
      <w:r w:rsidR="00877150">
        <w:t>r</w:t>
      </w:r>
      <w:r w:rsidRPr="00ED3CAB">
        <w:t xml:space="preserve">esources staff, </w:t>
      </w:r>
      <w:r w:rsidR="00877150">
        <w:t>a</w:t>
      </w:r>
      <w:r w:rsidRPr="00ED3CAB">
        <w:t xml:space="preserve">dvisors to </w:t>
      </w:r>
      <w:r w:rsidR="00877150">
        <w:t>s</w:t>
      </w:r>
      <w:r w:rsidRPr="00ED3CAB">
        <w:t xml:space="preserve">tudent </w:t>
      </w:r>
      <w:r w:rsidR="00877150">
        <w:t>o</w:t>
      </w:r>
      <w:r w:rsidRPr="00ED3CAB">
        <w:t xml:space="preserve">rganizations, and any other official with significant responsibility for </w:t>
      </w:r>
      <w:r w:rsidRPr="00ED3CAB">
        <w:lastRenderedPageBreak/>
        <w:t>student and campus activities.</w:t>
      </w:r>
      <w:r w:rsidR="00F766D9">
        <w:br/>
      </w:r>
    </w:p>
    <w:p w14:paraId="1D68B1D3" w14:textId="2E174893" w:rsidR="00283F30" w:rsidRDefault="00283F30" w:rsidP="00021C70">
      <w:pPr>
        <w:pStyle w:val="Heading1"/>
      </w:pPr>
      <w:bookmarkStart w:id="52" w:name="_Toc168477522"/>
      <w:r>
        <w:t>Independence and Conflicts of Interest</w:t>
      </w:r>
      <w:bookmarkEnd w:id="52"/>
    </w:p>
    <w:p w14:paraId="547A9B3B" w14:textId="77777777" w:rsidR="00283F30" w:rsidRDefault="00283F30" w:rsidP="00283F30"/>
    <w:p w14:paraId="7EA20D62" w14:textId="03E78C6D" w:rsidR="00283F30" w:rsidRDefault="00283F30" w:rsidP="00283F30">
      <w:r>
        <w:t xml:space="preserve">The </w:t>
      </w:r>
      <w:r w:rsidRPr="00942938">
        <w:rPr>
          <w:highlight w:val="lightGray"/>
        </w:rPr>
        <w:t>Administrator</w:t>
      </w:r>
      <w:r>
        <w:t xml:space="preserve"> </w:t>
      </w:r>
      <w:r w:rsidRPr="00ED3CAB">
        <w:t>manages the</w:t>
      </w:r>
      <w:r w:rsidRPr="007609A7">
        <w:rPr>
          <w:highlight w:val="lightGray"/>
        </w:rPr>
        <w:t xml:space="preserve"> </w:t>
      </w:r>
      <w:r>
        <w:rPr>
          <w:highlight w:val="lightGray"/>
        </w:rPr>
        <w:t>Nondiscrimination Team</w:t>
      </w:r>
      <w:r w:rsidRPr="007609A7">
        <w:rPr>
          <w:highlight w:val="lightGray"/>
        </w:rPr>
        <w:t xml:space="preserve"> </w:t>
      </w:r>
      <w:r w:rsidRPr="00ED3CAB">
        <w:t>and</w:t>
      </w:r>
      <w:r>
        <w:t xml:space="preserve"> acts with independence and authority</w:t>
      </w:r>
      <w:r w:rsidR="00000B0C">
        <w:t>,</w:t>
      </w:r>
      <w:r>
        <w:t xml:space="preserve"> free from bias and conflicts of interest. The </w:t>
      </w:r>
      <w:r w:rsidRPr="00942938">
        <w:rPr>
          <w:highlight w:val="lightGray"/>
        </w:rPr>
        <w:t>Administrator</w:t>
      </w:r>
      <w:r>
        <w:t xml:space="preserve"> oversees all resolutions under this Policy and these procedures. The members of the </w:t>
      </w:r>
      <w:r w:rsidRPr="00942938">
        <w:rPr>
          <w:highlight w:val="lightGray"/>
        </w:rPr>
        <w:t xml:space="preserve">Resolution </w:t>
      </w:r>
      <w:r>
        <w:rPr>
          <w:highlight w:val="lightGray"/>
        </w:rPr>
        <w:t>Pool</w:t>
      </w:r>
      <w:r w:rsidR="0023151C">
        <w:t xml:space="preserve"> </w:t>
      </w:r>
      <w:r>
        <w:t xml:space="preserve">are vetted and trained to ensure they are not biased for or against any party in a specific </w:t>
      </w:r>
      <w:r w:rsidR="00F240C0">
        <w:t>Complaint</w:t>
      </w:r>
      <w:r>
        <w:t>, or for or against Complainants and/or Respondents, generally.</w:t>
      </w:r>
    </w:p>
    <w:p w14:paraId="29E85879" w14:textId="77777777" w:rsidR="00283F30" w:rsidRDefault="00283F30" w:rsidP="00283F30">
      <w:r>
        <w:t xml:space="preserve"> </w:t>
      </w:r>
    </w:p>
    <w:p w14:paraId="543D7541" w14:textId="57DD3874" w:rsidR="00E61E75" w:rsidRDefault="00283F30" w:rsidP="00283F30">
      <w:r>
        <w:t xml:space="preserve">To raise any concern involving bias, conflict of interest, misconduct, or discrimination by the </w:t>
      </w:r>
      <w:r w:rsidR="00E61E75" w:rsidRPr="00942938">
        <w:rPr>
          <w:highlight w:val="lightGray"/>
        </w:rPr>
        <w:t>Administrator</w:t>
      </w:r>
      <w:r>
        <w:t xml:space="preserve">, contact the </w:t>
      </w:r>
      <w:r w:rsidR="00205A58" w:rsidRPr="00ED3CAB">
        <w:rPr>
          <w:highlight w:val="lightGray"/>
        </w:rPr>
        <w:t>[</w:t>
      </w:r>
      <w:r w:rsidRPr="007609A7">
        <w:rPr>
          <w:highlight w:val="lightGray"/>
        </w:rPr>
        <w:t>Recipient President or other appropriate official contact information</w:t>
      </w:r>
      <w:r w:rsidR="00205A58" w:rsidRPr="00ED3CAB">
        <w:rPr>
          <w:highlight w:val="lightGray"/>
        </w:rPr>
        <w:t>]</w:t>
      </w:r>
      <w:r>
        <w:t xml:space="preserve">. Concerns of bias, misconduct, discrimination, or a potential conflict of interest by any other </w:t>
      </w:r>
      <w:r w:rsidR="00E61E75" w:rsidRPr="00ED3CAB">
        <w:t>Resolution Pool</w:t>
      </w:r>
      <w:r w:rsidR="0023151C" w:rsidRPr="004A17EC">
        <w:t xml:space="preserve"> </w:t>
      </w:r>
      <w:r w:rsidRPr="004A17EC">
        <w:t>member</w:t>
      </w:r>
      <w:r>
        <w:t xml:space="preserve"> should be raised with the </w:t>
      </w:r>
      <w:r w:rsidR="00E61E75" w:rsidRPr="00942938">
        <w:rPr>
          <w:highlight w:val="lightGray"/>
        </w:rPr>
        <w:t>Administrator</w:t>
      </w:r>
      <w:r>
        <w:t>.</w:t>
      </w:r>
    </w:p>
    <w:bookmarkEnd w:id="16"/>
    <w:bookmarkEnd w:id="17"/>
    <w:p w14:paraId="7F051532" w14:textId="7B7649AB" w:rsidR="00AB3FDD" w:rsidRDefault="00AB3FDD" w:rsidP="005C4B3D"/>
    <w:p w14:paraId="5ED74CF7" w14:textId="77777777" w:rsidR="004D69DA" w:rsidRDefault="004D69DA" w:rsidP="004D69DA">
      <w:pPr>
        <w:pStyle w:val="Heading1"/>
      </w:pPr>
      <w:bookmarkStart w:id="53" w:name="_Toc168477523"/>
      <w:r>
        <w:t>Revision of this Policy</w:t>
      </w:r>
      <w:bookmarkEnd w:id="53"/>
      <w:r>
        <w:t xml:space="preserve"> </w:t>
      </w:r>
    </w:p>
    <w:p w14:paraId="04B0899C" w14:textId="77777777" w:rsidR="004D69DA" w:rsidRDefault="004D69DA" w:rsidP="004D69DA">
      <w:pPr>
        <w:rPr>
          <w:rFonts w:cs="Calibri"/>
          <w:b/>
          <w:bCs/>
          <w:u w:val="single"/>
        </w:rPr>
      </w:pPr>
    </w:p>
    <w:p w14:paraId="039BCC0A" w14:textId="09C2B9AD" w:rsidR="004D69DA" w:rsidRPr="00B46037" w:rsidRDefault="004D69DA" w:rsidP="004D69DA">
      <w:pPr>
        <w:rPr>
          <w:rFonts w:cs="Calibri"/>
        </w:rPr>
      </w:pPr>
      <w:r w:rsidRPr="00B46037">
        <w:rPr>
          <w:rFonts w:cs="Calibri"/>
        </w:rPr>
        <w:t xml:space="preserve">This Policy </w:t>
      </w:r>
      <w:proofErr w:type="gramStart"/>
      <w:r w:rsidR="00205A58">
        <w:rPr>
          <w:rFonts w:cs="Calibri"/>
        </w:rPr>
        <w:t>succeeds</w:t>
      </w:r>
      <w:proofErr w:type="gramEnd"/>
      <w:r w:rsidR="00205A58" w:rsidRPr="00B46037">
        <w:rPr>
          <w:rFonts w:cs="Calibri"/>
        </w:rPr>
        <w:t xml:space="preserve"> </w:t>
      </w:r>
      <w:r w:rsidRPr="00B46037">
        <w:rPr>
          <w:rFonts w:cs="Calibri"/>
        </w:rPr>
        <w:t>previous policie</w:t>
      </w:r>
      <w:r>
        <w:rPr>
          <w:rFonts w:cs="Calibri"/>
        </w:rPr>
        <w:t>s</w:t>
      </w:r>
      <w:r w:rsidRPr="00B46037">
        <w:rPr>
          <w:rFonts w:cs="Calibri"/>
        </w:rPr>
        <w:t xml:space="preserve"> addressing </w:t>
      </w:r>
      <w:r w:rsidR="00222F82">
        <w:rPr>
          <w:rFonts w:cs="Calibri"/>
        </w:rPr>
        <w:t xml:space="preserve">discrimination, </w:t>
      </w:r>
      <w:r w:rsidRPr="00B46037">
        <w:rPr>
          <w:rFonts w:cs="Calibri"/>
        </w:rPr>
        <w:t>harassment, sexual misconduct, and/or retaliation</w:t>
      </w:r>
      <w:r w:rsidR="00205A58">
        <w:rPr>
          <w:rFonts w:cs="Calibri"/>
        </w:rPr>
        <w:t xml:space="preserve">, though previous policies and procedures remain in force </w:t>
      </w:r>
      <w:r w:rsidRPr="00B46037">
        <w:rPr>
          <w:rFonts w:cs="Calibri"/>
        </w:rPr>
        <w:t xml:space="preserve">for incidents occurring </w:t>
      </w:r>
      <w:r w:rsidR="00205A58">
        <w:rPr>
          <w:rFonts w:cs="Calibri"/>
        </w:rPr>
        <w:t>before</w:t>
      </w:r>
      <w:r w:rsidRPr="00B46037">
        <w:rPr>
          <w:rFonts w:cs="Calibri"/>
        </w:rPr>
        <w:t xml:space="preserve"> </w:t>
      </w:r>
      <w:r w:rsidRPr="00720D3D">
        <w:rPr>
          <w:rFonts w:cs="Calibri"/>
        </w:rPr>
        <w:t>August 1, 202</w:t>
      </w:r>
      <w:r w:rsidRPr="0006108F">
        <w:rPr>
          <w:rFonts w:cs="Calibri"/>
        </w:rPr>
        <w:t>4</w:t>
      </w:r>
      <w:r w:rsidR="00205A58">
        <w:rPr>
          <w:rFonts w:cs="Calibri"/>
        </w:rPr>
        <w:t xml:space="preserve">. </w:t>
      </w:r>
      <w:r w:rsidR="001C3AA5">
        <w:rPr>
          <w:rFonts w:cs="Calibri"/>
        </w:rPr>
        <w:t xml:space="preserve">The </w:t>
      </w:r>
      <w:r w:rsidR="00877150" w:rsidRPr="00877150">
        <w:rPr>
          <w:rFonts w:cs="Calibri"/>
          <w:highlight w:val="lightGray"/>
        </w:rPr>
        <w:t>A</w:t>
      </w:r>
      <w:r w:rsidR="001C3AA5" w:rsidRPr="00877150">
        <w:rPr>
          <w:rFonts w:cs="Calibri"/>
          <w:highlight w:val="lightGray"/>
        </w:rPr>
        <w:t>dministrator</w:t>
      </w:r>
      <w:r w:rsidR="001C3AA5">
        <w:rPr>
          <w:rFonts w:cs="Calibri"/>
        </w:rPr>
        <w:t xml:space="preserve"> reviews and updates these policies and procedures regularly</w:t>
      </w:r>
      <w:r w:rsidRPr="00B46037">
        <w:rPr>
          <w:rFonts w:cs="Calibri"/>
        </w:rPr>
        <w:t xml:space="preserve">. The </w:t>
      </w:r>
      <w:r w:rsidRPr="00B46037">
        <w:rPr>
          <w:rFonts w:cs="Calibri"/>
          <w:highlight w:val="lightGray"/>
        </w:rPr>
        <w:t>Recipient</w:t>
      </w:r>
      <w:r w:rsidRPr="00B46037">
        <w:rPr>
          <w:rFonts w:cs="Calibri"/>
        </w:rPr>
        <w:t xml:space="preserve"> reserves the right to make changes to this document as necessary, and once those changes are posted online, they are in effect. </w:t>
      </w:r>
    </w:p>
    <w:p w14:paraId="0AEF4F1D" w14:textId="77777777" w:rsidR="004D69DA" w:rsidRPr="00B46037" w:rsidRDefault="004D69DA" w:rsidP="004D69DA">
      <w:pPr>
        <w:rPr>
          <w:rFonts w:cs="Calibri"/>
        </w:rPr>
      </w:pPr>
    </w:p>
    <w:p w14:paraId="19BAB6D9" w14:textId="758EAB55" w:rsidR="004D69DA" w:rsidRPr="00B46037" w:rsidRDefault="004D69DA" w:rsidP="004D69DA">
      <w:pPr>
        <w:rPr>
          <w:rFonts w:cs="Calibri"/>
        </w:rPr>
      </w:pPr>
      <w:r w:rsidRPr="00B46037">
        <w:rPr>
          <w:rFonts w:cs="Calibri"/>
        </w:rPr>
        <w:t>If government laws or regulations change</w:t>
      </w:r>
      <w:r w:rsidR="001C3AA5">
        <w:rPr>
          <w:rFonts w:cs="Calibri"/>
        </w:rPr>
        <w:t xml:space="preserve"> </w:t>
      </w:r>
      <w:r w:rsidRPr="00B46037">
        <w:rPr>
          <w:rFonts w:cs="Calibri"/>
        </w:rPr>
        <w:t>or court decisions alter</w:t>
      </w:r>
      <w:r w:rsidR="001C3AA5">
        <w:rPr>
          <w:rFonts w:cs="Calibri"/>
        </w:rPr>
        <w:t xml:space="preserve"> </w:t>
      </w:r>
      <w:r w:rsidRPr="00B46037">
        <w:rPr>
          <w:rFonts w:cs="Calibri"/>
        </w:rPr>
        <w:t>the requirements in a way that impacts this document, this document will be construed to comply with the most recent government laws</w:t>
      </w:r>
      <w:r w:rsidR="00AF372F">
        <w:rPr>
          <w:rFonts w:cs="Calibri"/>
        </w:rPr>
        <w:t>,</w:t>
      </w:r>
      <w:r w:rsidRPr="00B46037">
        <w:rPr>
          <w:rFonts w:cs="Calibri"/>
        </w:rPr>
        <w:t xml:space="preserve"> regulations</w:t>
      </w:r>
      <w:r w:rsidR="00AF372F">
        <w:rPr>
          <w:rFonts w:cs="Calibri"/>
        </w:rPr>
        <w:t>,</w:t>
      </w:r>
      <w:r w:rsidRPr="00B46037">
        <w:rPr>
          <w:rFonts w:cs="Calibri"/>
        </w:rPr>
        <w:t xml:space="preserve"> or court holdings. </w:t>
      </w:r>
    </w:p>
    <w:p w14:paraId="2B0555DC" w14:textId="77777777" w:rsidR="004D69DA" w:rsidRPr="00B46037" w:rsidRDefault="004D69DA" w:rsidP="004D69DA">
      <w:pPr>
        <w:rPr>
          <w:rFonts w:cs="Calibri"/>
        </w:rPr>
      </w:pPr>
    </w:p>
    <w:p w14:paraId="06BBA727" w14:textId="7D4FC094" w:rsidR="004D69DA" w:rsidRDefault="004D69DA" w:rsidP="004D69DA">
      <w:pPr>
        <w:rPr>
          <w:rFonts w:cs="Calibri"/>
        </w:rPr>
      </w:pPr>
      <w:r w:rsidRPr="00B46037">
        <w:rPr>
          <w:rFonts w:cs="Calibri"/>
        </w:rPr>
        <w:t xml:space="preserve">This document does not create legally enforceable protections beyond the </w:t>
      </w:r>
      <w:proofErr w:type="gramStart"/>
      <w:r w:rsidRPr="00B46037">
        <w:rPr>
          <w:rFonts w:cs="Calibri"/>
        </w:rPr>
        <w:t>protections</w:t>
      </w:r>
      <w:proofErr w:type="gramEnd"/>
      <w:r w:rsidRPr="00B46037">
        <w:rPr>
          <w:rFonts w:cs="Calibri"/>
        </w:rPr>
        <w:t xml:space="preserve"> of the background state and federal laws </w:t>
      </w:r>
      <w:r w:rsidR="00AF372F">
        <w:rPr>
          <w:rFonts w:cs="Calibri"/>
        </w:rPr>
        <w:t>that</w:t>
      </w:r>
      <w:r w:rsidR="00AF372F" w:rsidRPr="00B46037">
        <w:rPr>
          <w:rFonts w:cs="Calibri"/>
        </w:rPr>
        <w:t xml:space="preserve"> </w:t>
      </w:r>
      <w:r w:rsidRPr="00B46037">
        <w:rPr>
          <w:rFonts w:cs="Calibri"/>
        </w:rPr>
        <w:t>frame such policies and codes, generally.</w:t>
      </w:r>
    </w:p>
    <w:p w14:paraId="6808288E" w14:textId="77777777" w:rsidR="004D69DA" w:rsidRPr="00B46037" w:rsidRDefault="004D69DA" w:rsidP="004D69DA">
      <w:pPr>
        <w:rPr>
          <w:rFonts w:cs="Calibri"/>
        </w:rPr>
      </w:pPr>
      <w:r w:rsidRPr="00B46037">
        <w:rPr>
          <w:rFonts w:cs="Calibri"/>
        </w:rPr>
        <w:tab/>
      </w:r>
    </w:p>
    <w:p w14:paraId="1C08C1EE" w14:textId="77777777" w:rsidR="004D69DA" w:rsidRDefault="004D69DA" w:rsidP="004D69DA">
      <w:pPr>
        <w:rPr>
          <w:rFonts w:cs="Calibri"/>
        </w:rPr>
      </w:pPr>
      <w:r w:rsidRPr="00B46037">
        <w:rPr>
          <w:rFonts w:cs="Calibri"/>
        </w:rPr>
        <w:t>This Policy</w:t>
      </w:r>
      <w:r>
        <w:rPr>
          <w:rFonts w:cs="Calibri"/>
        </w:rPr>
        <w:t xml:space="preserve"> is</w:t>
      </w:r>
      <w:r w:rsidRPr="00B46037">
        <w:rPr>
          <w:rFonts w:cs="Calibri"/>
        </w:rPr>
        <w:t xml:space="preserve"> effective</w:t>
      </w:r>
      <w:r>
        <w:rPr>
          <w:rFonts w:cs="Calibri"/>
        </w:rPr>
        <w:t xml:space="preserve"> </w:t>
      </w:r>
      <w:r w:rsidRPr="00041DED">
        <w:rPr>
          <w:rFonts w:cs="Calibri"/>
          <w:highlight w:val="lightGray"/>
        </w:rPr>
        <w:t>&lt;&lt;date&gt;&gt;</w:t>
      </w:r>
      <w:r>
        <w:rPr>
          <w:rFonts w:cs="Calibri"/>
        </w:rPr>
        <w:t>.</w:t>
      </w:r>
    </w:p>
    <w:p w14:paraId="1374CA1D" w14:textId="1E5B0313" w:rsidR="00E76FD2" w:rsidRDefault="00E76FD2">
      <w:pPr>
        <w:spacing w:after="160" w:line="259" w:lineRule="auto"/>
      </w:pPr>
      <w:bookmarkStart w:id="54" w:name="_Mandated_Reporting"/>
      <w:bookmarkStart w:id="55" w:name="_Toc82511639"/>
      <w:bookmarkEnd w:id="54"/>
    </w:p>
    <w:p w14:paraId="1D3CF8B2" w14:textId="77777777" w:rsidR="00FF3055" w:rsidRDefault="00FF3055">
      <w:pPr>
        <w:spacing w:after="160" w:line="259" w:lineRule="auto"/>
        <w:rPr>
          <w:b/>
          <w:bCs/>
        </w:rPr>
      </w:pPr>
      <w:bookmarkStart w:id="56" w:name="_RESOLUTION_PROCESS_"/>
      <w:bookmarkStart w:id="57" w:name="_Toc82511645"/>
      <w:bookmarkEnd w:id="55"/>
      <w:bookmarkEnd w:id="56"/>
      <w:r>
        <w:rPr>
          <w:b/>
          <w:bCs/>
        </w:rPr>
        <w:br w:type="page"/>
      </w:r>
    </w:p>
    <w:p w14:paraId="1D66E6E3" w14:textId="779BF2C3" w:rsidR="00021C70" w:rsidRPr="00AF4053" w:rsidRDefault="00901053" w:rsidP="00AF4053">
      <w:pPr>
        <w:spacing w:after="160" w:line="259" w:lineRule="auto"/>
        <w:jc w:val="center"/>
        <w:rPr>
          <w:b/>
          <w:bCs/>
        </w:rPr>
      </w:pPr>
      <w:r w:rsidRPr="00BB6BB6">
        <w:rPr>
          <w:b/>
          <w:bCs/>
        </w:rPr>
        <w:lastRenderedPageBreak/>
        <w:t>RESOLUTION PROCESS</w:t>
      </w:r>
      <w:r w:rsidRPr="009B0364">
        <w:t xml:space="preserve"> </w:t>
      </w:r>
      <w:r w:rsidRPr="00BB6BB6">
        <w:rPr>
          <w:b/>
          <w:bCs/>
        </w:rPr>
        <w:t xml:space="preserve">FOR ALLEGED VIOLATIONS OF </w:t>
      </w:r>
      <w:r w:rsidR="004A33C6">
        <w:rPr>
          <w:b/>
          <w:bCs/>
        </w:rPr>
        <w:t xml:space="preserve">POLICY ON </w:t>
      </w:r>
      <w:r w:rsidRPr="00720D3D">
        <w:rPr>
          <w:b/>
          <w:bCs/>
          <w:highlight w:val="lightGray"/>
        </w:rPr>
        <w:t>EQUAL OPPORTUNITY, HARASSMENT, AND NONDISCRIMINATION</w:t>
      </w:r>
      <w:r w:rsidR="00BB553B" w:rsidRPr="009B0364">
        <w:rPr>
          <w:rStyle w:val="FootnoteReference"/>
        </w:rPr>
        <w:footnoteReference w:id="22"/>
      </w:r>
      <w:bookmarkEnd w:id="57"/>
      <w:r w:rsidR="00AC5E28">
        <w:rPr>
          <w:b/>
          <w:bCs/>
        </w:rPr>
        <w:t xml:space="preserve"> </w:t>
      </w:r>
      <w:r w:rsidR="00A800CC" w:rsidRPr="00AF4053">
        <w:rPr>
          <w:b/>
          <w:bCs/>
        </w:rPr>
        <w:t>(Hereinafter the “Resolution Process”)</w:t>
      </w:r>
    </w:p>
    <w:p w14:paraId="72995681" w14:textId="14D8DC01" w:rsidR="008B67BF" w:rsidRDefault="008B67BF" w:rsidP="005521DD">
      <w:pPr>
        <w:pStyle w:val="Heading1"/>
        <w:numPr>
          <w:ilvl w:val="0"/>
          <w:numId w:val="36"/>
        </w:numPr>
        <w:ind w:left="360"/>
      </w:pPr>
      <w:bookmarkStart w:id="58" w:name="_Toc82511646"/>
      <w:bookmarkStart w:id="59" w:name="_Toc102393968"/>
      <w:bookmarkStart w:id="60" w:name="_Toc168477524"/>
      <w:r>
        <w:t>Overview</w:t>
      </w:r>
      <w:bookmarkEnd w:id="58"/>
      <w:bookmarkEnd w:id="59"/>
      <w:bookmarkEnd w:id="60"/>
    </w:p>
    <w:p w14:paraId="23E12236" w14:textId="42FDA132" w:rsidR="00032F1F" w:rsidRDefault="00032F1F" w:rsidP="00032F1F"/>
    <w:p w14:paraId="72CECAD7" w14:textId="13DD668D" w:rsidR="00032F1F" w:rsidRDefault="00032F1F" w:rsidP="00032F1F">
      <w:r w:rsidRPr="00EA0973">
        <w:rPr>
          <w:highlight w:val="lightGray"/>
        </w:rPr>
        <w:t>Recipient</w:t>
      </w:r>
      <w:r>
        <w:t xml:space="preserve"> will act on any </w:t>
      </w:r>
      <w:r w:rsidR="00BD18A8">
        <w:t>Notice</w:t>
      </w:r>
      <w:r w:rsidR="00FF3055">
        <w:t xml:space="preserve">, </w:t>
      </w:r>
      <w:r w:rsidR="00F240C0">
        <w:t>Complaint</w:t>
      </w:r>
      <w:r w:rsidR="00FF3055">
        <w:t>, o</w:t>
      </w:r>
      <w:r w:rsidR="00F91E87">
        <w:t>r</w:t>
      </w:r>
      <w:r w:rsidR="00FF3055">
        <w:t xml:space="preserve"> </w:t>
      </w:r>
      <w:r w:rsidR="00F240C0">
        <w:t>Knowledge</w:t>
      </w:r>
      <w:r>
        <w:t xml:space="preserve"> </w:t>
      </w:r>
      <w:r w:rsidR="00FF3055">
        <w:t>of a potential</w:t>
      </w:r>
      <w:r w:rsidR="00621C4C">
        <w:t xml:space="preserve"> </w:t>
      </w:r>
      <w:r>
        <w:t xml:space="preserve">violation of the </w:t>
      </w:r>
      <w:r w:rsidRPr="00ED3CAB">
        <w:rPr>
          <w:highlight w:val="lightGray"/>
        </w:rPr>
        <w:t>Equal Opportunity, Harassment, and Nondiscrimination</w:t>
      </w:r>
      <w:r w:rsidR="00EA0973" w:rsidRPr="00ED3CAB">
        <w:rPr>
          <w:highlight w:val="lightGray"/>
        </w:rPr>
        <w:t xml:space="preserve"> Policy</w:t>
      </w:r>
      <w:r>
        <w:t xml:space="preserve"> (“the Policy”) that is received by the </w:t>
      </w:r>
      <w:r w:rsidR="00BB553B" w:rsidRPr="007875BF">
        <w:rPr>
          <w:highlight w:val="lightGray"/>
        </w:rPr>
        <w:t>Administrator</w:t>
      </w:r>
      <w:r w:rsidR="00E60600">
        <w:rPr>
          <w:rStyle w:val="FootnoteReference"/>
        </w:rPr>
        <w:footnoteReference w:id="23"/>
      </w:r>
      <w:r>
        <w:t xml:space="preserve"> or any other </w:t>
      </w:r>
      <w:r w:rsidR="005E26E7">
        <w:t>Mandated Reporter</w:t>
      </w:r>
      <w:r>
        <w:t xml:space="preserve"> by applying </w:t>
      </w:r>
      <w:r w:rsidR="0028524D">
        <w:t>the Resolution Process below</w:t>
      </w:r>
      <w:r w:rsidR="00BB553B">
        <w:t>.</w:t>
      </w:r>
      <w:r>
        <w:t xml:space="preserve"> </w:t>
      </w:r>
    </w:p>
    <w:p w14:paraId="02489F08" w14:textId="77777777" w:rsidR="00032F1F" w:rsidRDefault="00032F1F" w:rsidP="00032F1F"/>
    <w:p w14:paraId="530B16C7" w14:textId="016E53DB" w:rsidR="00032F1F" w:rsidRDefault="00032F1F" w:rsidP="00032F1F">
      <w:r w:rsidRPr="00ED3CAB">
        <w:t xml:space="preserve">The procedures below apply to all allegations of </w:t>
      </w:r>
      <w:r w:rsidR="00BB553B" w:rsidRPr="00ED3CAB">
        <w:t xml:space="preserve">discrimination </w:t>
      </w:r>
      <w:proofErr w:type="gramStart"/>
      <w:r w:rsidRPr="00ED3CAB">
        <w:t>on the basis of</w:t>
      </w:r>
      <w:proofErr w:type="gramEnd"/>
      <w:r w:rsidRPr="00ED3CAB">
        <w:t xml:space="preserve"> </w:t>
      </w:r>
      <w:r w:rsidR="00755278" w:rsidRPr="00ED3CAB">
        <w:t xml:space="preserve">an actual or perceived </w:t>
      </w:r>
      <w:r w:rsidRPr="00ED3CAB">
        <w:t xml:space="preserve">protected </w:t>
      </w:r>
      <w:r w:rsidR="00755278" w:rsidRPr="00ED3CAB">
        <w:t>characteristic</w:t>
      </w:r>
      <w:r w:rsidR="00BB553B" w:rsidRPr="00ED3CAB">
        <w:t xml:space="preserve">, </w:t>
      </w:r>
      <w:r w:rsidR="00C41003">
        <w:t xml:space="preserve">harassment, </w:t>
      </w:r>
      <w:r w:rsidR="00BB553B" w:rsidRPr="00ED3CAB">
        <w:t>retaliation</w:t>
      </w:r>
      <w:r w:rsidR="00081F80">
        <w:t xml:space="preserve">, or Other Prohibited Conduct as </w:t>
      </w:r>
      <w:r w:rsidRPr="00ED3CAB">
        <w:t>involving students, staff, administrators, faculty members</w:t>
      </w:r>
      <w:r w:rsidR="00BB553B" w:rsidRPr="00ED3CAB">
        <w:t xml:space="preserve">, or third </w:t>
      </w:r>
      <w:r w:rsidR="00081F80">
        <w:t>p</w:t>
      </w:r>
      <w:r w:rsidR="0028631C">
        <w:t>arties</w:t>
      </w:r>
      <w:r w:rsidR="00AE04FE" w:rsidRPr="00ED3CAB">
        <w:t>.</w:t>
      </w:r>
      <w:r w:rsidR="00BB553B" w:rsidRPr="00ED3CAB">
        <w:t xml:space="preserve"> </w:t>
      </w:r>
      <w:r w:rsidR="00FF3055">
        <w:rPr>
          <w:highlight w:val="lightGray"/>
        </w:rPr>
        <w:t>[</w:t>
      </w:r>
      <w:r w:rsidRPr="00EA0973">
        <w:rPr>
          <w:highlight w:val="lightGray"/>
        </w:rPr>
        <w:t>Unionized/other categorized employees are subject to the terms of their agreements/employees’ rights to the extent those agreements do not conflict with federal or state compliance obligations.]</w:t>
      </w:r>
      <w:r w:rsidR="00BB553B" w:rsidRPr="00081F80">
        <w:rPr>
          <w:rStyle w:val="FootnoteReference"/>
        </w:rPr>
        <w:footnoteReference w:id="24"/>
      </w:r>
    </w:p>
    <w:p w14:paraId="49080B18" w14:textId="77777777" w:rsidR="00032F1F" w:rsidRPr="00032F1F" w:rsidRDefault="00032F1F" w:rsidP="00032F1F"/>
    <w:p w14:paraId="0FE9C740" w14:textId="7BBDD0BA" w:rsidR="008B67BF" w:rsidRDefault="008B67BF" w:rsidP="00021C70">
      <w:pPr>
        <w:pStyle w:val="Heading1"/>
      </w:pPr>
      <w:bookmarkStart w:id="61" w:name="_Toc82511647"/>
      <w:bookmarkStart w:id="62" w:name="_Toc102393969"/>
      <w:bookmarkStart w:id="63" w:name="_Toc168477525"/>
      <w:r>
        <w:t>Notice/Complaint</w:t>
      </w:r>
      <w:bookmarkEnd w:id="61"/>
      <w:bookmarkEnd w:id="62"/>
      <w:bookmarkEnd w:id="63"/>
    </w:p>
    <w:p w14:paraId="135D6CFB" w14:textId="022A92A8" w:rsidR="00EA0973" w:rsidRDefault="00EA0973" w:rsidP="00EA0973"/>
    <w:p w14:paraId="164EE55B" w14:textId="2F07E967" w:rsidR="00EA0973" w:rsidRDefault="00EA0973" w:rsidP="00EA0973">
      <w:r>
        <w:t xml:space="preserve">Upon receipt </w:t>
      </w:r>
      <w:r w:rsidR="00A201F6">
        <w:t xml:space="preserve">of </w:t>
      </w:r>
      <w:r w:rsidR="00BD18A8">
        <w:t>Notice</w:t>
      </w:r>
      <w:r w:rsidR="00291D46">
        <w:t xml:space="preserve">, </w:t>
      </w:r>
      <w:r w:rsidR="007875BF">
        <w:t xml:space="preserve">a </w:t>
      </w:r>
      <w:r w:rsidR="00F240C0">
        <w:t>Complaint</w:t>
      </w:r>
      <w:r w:rsidR="00291D46">
        <w:t xml:space="preserve">, or </w:t>
      </w:r>
      <w:r w:rsidR="00F240C0">
        <w:t>Knowledge</w:t>
      </w:r>
      <w:r>
        <w:t xml:space="preserve"> of an alleged </w:t>
      </w:r>
      <w:r w:rsidR="00D715ED">
        <w:t>P</w:t>
      </w:r>
      <w:r>
        <w:t>olicy violation</w:t>
      </w:r>
      <w:r w:rsidR="007875BF">
        <w:t>,</w:t>
      </w:r>
      <w:r>
        <w:t xml:space="preserve"> the </w:t>
      </w:r>
      <w:r w:rsidR="007875BF" w:rsidRPr="00EF6D7C">
        <w:rPr>
          <w:highlight w:val="lightGray"/>
        </w:rPr>
        <w:t>Administrator</w:t>
      </w:r>
      <w:r w:rsidR="007875BF">
        <w:t xml:space="preserve"> </w:t>
      </w:r>
      <w:r w:rsidR="00291D46">
        <w:t xml:space="preserve">will </w:t>
      </w:r>
      <w:r>
        <w:t xml:space="preserve">initiate a prompt initial </w:t>
      </w:r>
      <w:r w:rsidR="00291D46">
        <w:t xml:space="preserve">evaluation </w:t>
      </w:r>
      <w:r>
        <w:t xml:space="preserve">to determine the </w:t>
      </w:r>
      <w:r w:rsidR="007875BF" w:rsidRPr="007875BF">
        <w:rPr>
          <w:highlight w:val="lightGray"/>
        </w:rPr>
        <w:t>Recipient</w:t>
      </w:r>
      <w:r w:rsidR="007875BF">
        <w:t>’s next steps</w:t>
      </w:r>
      <w:r>
        <w:t xml:space="preserve">. </w:t>
      </w:r>
      <w:bookmarkStart w:id="64" w:name="_Hlk85640422"/>
      <w:r>
        <w:t xml:space="preserve">The </w:t>
      </w:r>
      <w:r w:rsidR="007875BF" w:rsidRPr="007875BF">
        <w:rPr>
          <w:highlight w:val="lightGray"/>
        </w:rPr>
        <w:t>Administrator</w:t>
      </w:r>
      <w:r>
        <w:t xml:space="preserve"> will contact the Complainant</w:t>
      </w:r>
      <w:r w:rsidR="002F2BEB">
        <w:t xml:space="preserve">/source of the </w:t>
      </w:r>
      <w:r w:rsidR="00CF41EE">
        <w:t>Notice</w:t>
      </w:r>
      <w:r>
        <w:t xml:space="preserve"> to offer supportive measures</w:t>
      </w:r>
      <w:r w:rsidR="00621C4C">
        <w:t xml:space="preserve">, provide information regarding </w:t>
      </w:r>
      <w:r w:rsidR="002953C7">
        <w:t xml:space="preserve">resolution options, </w:t>
      </w:r>
      <w:r>
        <w:t xml:space="preserve">and determine </w:t>
      </w:r>
      <w:r w:rsidR="00EF6D7C">
        <w:t xml:space="preserve">how </w:t>
      </w:r>
      <w:r>
        <w:t>the</w:t>
      </w:r>
      <w:r w:rsidR="002F2BEB">
        <w:t xml:space="preserve">y </w:t>
      </w:r>
      <w:r>
        <w:t xml:space="preserve">wish </w:t>
      </w:r>
      <w:r w:rsidR="00EF6D7C">
        <w:t xml:space="preserve">to proceed. </w:t>
      </w:r>
      <w:bookmarkEnd w:id="64"/>
    </w:p>
    <w:p w14:paraId="5F82B68C" w14:textId="77777777" w:rsidR="00F573E0" w:rsidRDefault="00F573E0" w:rsidP="00EA0973"/>
    <w:p w14:paraId="16167727" w14:textId="3A55EE67" w:rsidR="00F573E0" w:rsidRDefault="00621C4C" w:rsidP="00F539C8">
      <w:pPr>
        <w:pStyle w:val="Heading1"/>
      </w:pPr>
      <w:bookmarkStart w:id="65" w:name="_Toc168477526"/>
      <w:r>
        <w:t>Collateral Misconduct</w:t>
      </w:r>
      <w:bookmarkEnd w:id="65"/>
    </w:p>
    <w:p w14:paraId="57E9AB7B" w14:textId="77777777" w:rsidR="00621C4C" w:rsidRDefault="00621C4C" w:rsidP="00621C4C"/>
    <w:p w14:paraId="0C40CC35" w14:textId="4BE7B349" w:rsidR="0028524D" w:rsidRDefault="009639ED" w:rsidP="00621C4C">
      <w:r>
        <w:t xml:space="preserve">Collateral misconduct is defined to include potential violations of other </w:t>
      </w:r>
      <w:r w:rsidRPr="00ED3CAB">
        <w:rPr>
          <w:highlight w:val="lightGray"/>
        </w:rPr>
        <w:t>Recipient</w:t>
      </w:r>
      <w:r>
        <w:t xml:space="preserve"> policies not incorporated into the Policy on </w:t>
      </w:r>
      <w:r w:rsidRPr="00ED3CAB">
        <w:rPr>
          <w:highlight w:val="lightGray"/>
        </w:rPr>
        <w:t>Equal Opportunity, Harassment</w:t>
      </w:r>
      <w:r w:rsidR="007475D3">
        <w:rPr>
          <w:highlight w:val="lightGray"/>
        </w:rPr>
        <w:t>,</w:t>
      </w:r>
      <w:r w:rsidRPr="00ED3CAB">
        <w:rPr>
          <w:highlight w:val="lightGray"/>
        </w:rPr>
        <w:t xml:space="preserve"> and Nondiscrimination</w:t>
      </w:r>
      <w:r>
        <w:t xml:space="preserve"> that occur in co</w:t>
      </w:r>
      <w:r w:rsidR="00F91E87">
        <w:t>njunction</w:t>
      </w:r>
      <w:r>
        <w:t xml:space="preserve"> with alleged violations of the Policy, or that arise through the course of the investigation, for which it makes sense to provide one resolution </w:t>
      </w:r>
      <w:r w:rsidR="00737290">
        <w:t>for</w:t>
      </w:r>
      <w:r>
        <w:t xml:space="preserve"> all charges. Thus, the collateral allegations may be charged along with potential violations of the Policy, to be resolved jointly under these Procedures</w:t>
      </w:r>
      <w:r w:rsidRPr="009639ED">
        <w:t xml:space="preserve">. </w:t>
      </w:r>
      <w:r w:rsidR="00621C4C" w:rsidRPr="00ED3CAB">
        <w:t xml:space="preserve">In such </w:t>
      </w:r>
      <w:r w:rsidR="00737290">
        <w:t>circumstances</w:t>
      </w:r>
      <w:r w:rsidR="00621C4C" w:rsidRPr="00ED3CAB">
        <w:t xml:space="preserve">, the </w:t>
      </w:r>
      <w:r w:rsidR="00621C4C" w:rsidRPr="009639ED">
        <w:rPr>
          <w:highlight w:val="lightGray"/>
        </w:rPr>
        <w:t>Administrator</w:t>
      </w:r>
      <w:r w:rsidR="00621C4C" w:rsidRPr="00ED3CAB">
        <w:t xml:space="preserve"> may consult with </w:t>
      </w:r>
      <w:r w:rsidRPr="00ED3CAB">
        <w:rPr>
          <w:highlight w:val="lightGray"/>
        </w:rPr>
        <w:t>Recipient</w:t>
      </w:r>
      <w:r w:rsidRPr="00ED3CAB">
        <w:t xml:space="preserve"> </w:t>
      </w:r>
      <w:r w:rsidR="00621C4C" w:rsidRPr="00ED3CAB">
        <w:t xml:space="preserve">officials who typically oversee such conduct (e.g., </w:t>
      </w:r>
      <w:r w:rsidR="00877150">
        <w:t>h</w:t>
      </w:r>
      <w:r w:rsidR="00621C4C" w:rsidRPr="00ED3CAB">
        <w:t xml:space="preserve">uman </w:t>
      </w:r>
      <w:r w:rsidR="00877150">
        <w:t>r</w:t>
      </w:r>
      <w:r w:rsidR="00621C4C" w:rsidRPr="00ED3CAB">
        <w:t xml:space="preserve">esources, </w:t>
      </w:r>
      <w:r w:rsidR="00877150">
        <w:t>s</w:t>
      </w:r>
      <w:r w:rsidR="00621C4C" w:rsidRPr="00ED3CAB">
        <w:t xml:space="preserve">tudent </w:t>
      </w:r>
      <w:r w:rsidR="00877150">
        <w:t>c</w:t>
      </w:r>
      <w:r w:rsidR="00621C4C" w:rsidRPr="00ED3CAB">
        <w:t xml:space="preserve">onduct, </w:t>
      </w:r>
      <w:r w:rsidR="00877150">
        <w:t>a</w:t>
      </w:r>
      <w:r w:rsidR="00621C4C" w:rsidRPr="00ED3CAB">
        <w:t xml:space="preserve">cademic </w:t>
      </w:r>
      <w:r w:rsidR="00877150">
        <w:t>a</w:t>
      </w:r>
      <w:r w:rsidR="00621C4C" w:rsidRPr="00ED3CAB">
        <w:t xml:space="preserve">ffairs) </w:t>
      </w:r>
      <w:r>
        <w:t>to solicit their</w:t>
      </w:r>
      <w:r w:rsidR="00621C4C" w:rsidRPr="00ED3CAB">
        <w:t xml:space="preserve"> input as needed</w:t>
      </w:r>
      <w:r>
        <w:t xml:space="preserve"> on what charges should be filed, but the exercise of collateral charges under these procedures is within the discretion of </w:t>
      </w:r>
      <w:r w:rsidRPr="00ED3CAB">
        <w:rPr>
          <w:highlight w:val="lightGray"/>
        </w:rPr>
        <w:t>Administrator</w:t>
      </w:r>
      <w:r w:rsidR="00621C4C" w:rsidRPr="00ED3CAB">
        <w:t>.</w:t>
      </w:r>
      <w:r w:rsidR="00621C4C">
        <w:t xml:space="preserve"> All other allegations of misconduct unrelated to incidents covered by the Policy will </w:t>
      </w:r>
      <w:r>
        <w:t xml:space="preserve">typically </w:t>
      </w:r>
      <w:r w:rsidR="00621C4C">
        <w:t xml:space="preserve">be addressed </w:t>
      </w:r>
      <w:r>
        <w:t xml:space="preserve">separately </w:t>
      </w:r>
      <w:r w:rsidR="00621C4C">
        <w:t xml:space="preserve">through procedures described in the </w:t>
      </w:r>
      <w:r w:rsidR="00621C4C" w:rsidRPr="006E024D">
        <w:t>student, faculty, and staff handbooks.</w:t>
      </w:r>
    </w:p>
    <w:p w14:paraId="77867AB7" w14:textId="77777777" w:rsidR="00F573E0" w:rsidRDefault="00F573E0" w:rsidP="00EA0973"/>
    <w:p w14:paraId="7EBCDB57" w14:textId="02ED75DF" w:rsidR="007875BF" w:rsidRDefault="007875BF" w:rsidP="00021C70">
      <w:pPr>
        <w:pStyle w:val="Heading1"/>
      </w:pPr>
      <w:bookmarkStart w:id="66" w:name="_Toc168477527"/>
      <w:r>
        <w:t xml:space="preserve">Initial </w:t>
      </w:r>
      <w:r w:rsidR="009639ED">
        <w:t>Evaluation</w:t>
      </w:r>
      <w:bookmarkEnd w:id="66"/>
    </w:p>
    <w:p w14:paraId="04F89415" w14:textId="77777777" w:rsidR="00F573E0" w:rsidRDefault="00F573E0" w:rsidP="007875BF"/>
    <w:p w14:paraId="227B9694" w14:textId="5533DFBD" w:rsidR="007875BF" w:rsidRDefault="00737290" w:rsidP="007875BF">
      <w:r>
        <w:t>T</w:t>
      </w:r>
      <w:r w:rsidR="007875BF">
        <w:t xml:space="preserve">he </w:t>
      </w:r>
      <w:r w:rsidR="007875BF" w:rsidRPr="007875BF">
        <w:rPr>
          <w:highlight w:val="lightGray"/>
        </w:rPr>
        <w:t>Administrator</w:t>
      </w:r>
      <w:r w:rsidR="007875BF">
        <w:t xml:space="preserve"> </w:t>
      </w:r>
      <w:r w:rsidR="00C57C06">
        <w:t>conducts</w:t>
      </w:r>
      <w:r w:rsidR="007875BF">
        <w:t xml:space="preserve"> an initial </w:t>
      </w:r>
      <w:r w:rsidR="009639ED">
        <w:t>evaluation</w:t>
      </w:r>
      <w:r w:rsidR="007875BF">
        <w:t xml:space="preserve"> typically within </w:t>
      </w:r>
      <w:r w:rsidR="00A30433">
        <w:rPr>
          <w:highlight w:val="lightGray"/>
        </w:rPr>
        <w:t>seven</w:t>
      </w:r>
      <w:r w:rsidR="007875BF" w:rsidRPr="00755278">
        <w:rPr>
          <w:highlight w:val="lightGray"/>
        </w:rPr>
        <w:t xml:space="preserve"> </w:t>
      </w:r>
      <w:r w:rsidR="00A30433">
        <w:rPr>
          <w:highlight w:val="lightGray"/>
        </w:rPr>
        <w:t xml:space="preserve">(7) </w:t>
      </w:r>
      <w:r w:rsidR="007875BF" w:rsidRPr="00755278">
        <w:rPr>
          <w:highlight w:val="lightGray"/>
        </w:rPr>
        <w:t>business</w:t>
      </w:r>
      <w:r w:rsidR="007875BF">
        <w:t xml:space="preserve"> days</w:t>
      </w:r>
      <w:r w:rsidR="00A30433">
        <w:t xml:space="preserve"> of receiving </w:t>
      </w:r>
      <w:r w:rsidR="00BD18A8">
        <w:t>Notice</w:t>
      </w:r>
      <w:r w:rsidR="00A30433">
        <w:t>/</w:t>
      </w:r>
      <w:r w:rsidR="00F240C0">
        <w:t>Complaint</w:t>
      </w:r>
      <w:r w:rsidR="00A30433">
        <w:t>/</w:t>
      </w:r>
      <w:r w:rsidR="00F240C0">
        <w:t>Knowledge</w:t>
      </w:r>
      <w:r w:rsidR="00A30433">
        <w:t xml:space="preserve"> of alleged misconduct</w:t>
      </w:r>
      <w:r w:rsidR="007875BF">
        <w:t>.</w:t>
      </w:r>
      <w:r w:rsidR="00C57C06" w:rsidRPr="006C37E8">
        <w:rPr>
          <w:rStyle w:val="FootnoteReference"/>
        </w:rPr>
        <w:footnoteReference w:id="25"/>
      </w:r>
      <w:r w:rsidR="007875BF">
        <w:t xml:space="preserve"> </w:t>
      </w:r>
      <w:r w:rsidR="00BD2E30">
        <w:t>The i</w:t>
      </w:r>
      <w:r w:rsidR="007875BF">
        <w:t xml:space="preserve">nitial </w:t>
      </w:r>
      <w:r w:rsidR="00A30433">
        <w:t>evaluation</w:t>
      </w:r>
      <w:r w:rsidR="00BD2E30">
        <w:t xml:space="preserve"> </w:t>
      </w:r>
      <w:r w:rsidR="00A30433">
        <w:t>typically</w:t>
      </w:r>
      <w:r w:rsidR="00BD2E30">
        <w:t xml:space="preserve"> include</w:t>
      </w:r>
      <w:r w:rsidR="00A30433">
        <w:t>s</w:t>
      </w:r>
      <w:r w:rsidR="007875BF">
        <w:t>:</w:t>
      </w:r>
    </w:p>
    <w:p w14:paraId="34F92486" w14:textId="77777777" w:rsidR="006141F2" w:rsidRDefault="006141F2" w:rsidP="007875BF"/>
    <w:p w14:paraId="65997C42" w14:textId="0352F424" w:rsidR="002212C4" w:rsidRDefault="002212C4" w:rsidP="005521DD">
      <w:pPr>
        <w:pStyle w:val="ListParagraph"/>
        <w:numPr>
          <w:ilvl w:val="0"/>
          <w:numId w:val="16"/>
        </w:numPr>
      </w:pPr>
      <w:r>
        <w:t>Assess</w:t>
      </w:r>
      <w:r w:rsidR="00BD2E30">
        <w:t>ing</w:t>
      </w:r>
      <w:r>
        <w:t xml:space="preserve"> whether </w:t>
      </w:r>
      <w:proofErr w:type="gramStart"/>
      <w:r>
        <w:t>the reported</w:t>
      </w:r>
      <w:proofErr w:type="gramEnd"/>
      <w:r>
        <w:t xml:space="preserve"> conduct may reasonably constitute a violation of the Policy.</w:t>
      </w:r>
    </w:p>
    <w:p w14:paraId="290243BE" w14:textId="12D5E092" w:rsidR="00BD2E30" w:rsidRDefault="00BD2E30" w:rsidP="005521DD">
      <w:pPr>
        <w:pStyle w:val="ListParagraph"/>
        <w:numPr>
          <w:ilvl w:val="1"/>
          <w:numId w:val="16"/>
        </w:numPr>
      </w:pPr>
      <w:r>
        <w:t xml:space="preserve">If </w:t>
      </w:r>
      <w:r w:rsidR="00930043">
        <w:t xml:space="preserve">the conduct </w:t>
      </w:r>
      <w:r>
        <w:t xml:space="preserve">may not reasonably constitute a violation of the Policy, the matter is </w:t>
      </w:r>
      <w:r w:rsidR="00A30433">
        <w:t xml:space="preserve">typically </w:t>
      </w:r>
      <w:r>
        <w:t xml:space="preserve">dismissed from this process, consistent with the dismissal provision in these procedures. </w:t>
      </w:r>
      <w:r w:rsidR="00A30433">
        <w:t>It may then be referred to another process, if applicable.</w:t>
      </w:r>
      <w:r>
        <w:t xml:space="preserve"> </w:t>
      </w:r>
    </w:p>
    <w:p w14:paraId="5284FB6F" w14:textId="576AD4E3" w:rsidR="00BD2E30" w:rsidRDefault="002212C4" w:rsidP="005521DD">
      <w:pPr>
        <w:pStyle w:val="ListParagraph"/>
        <w:numPr>
          <w:ilvl w:val="0"/>
          <w:numId w:val="16"/>
        </w:numPr>
      </w:pPr>
      <w:r>
        <w:t>Determin</w:t>
      </w:r>
      <w:r w:rsidR="00BD2E30">
        <w:t>ing</w:t>
      </w:r>
      <w:r>
        <w:t xml:space="preserve"> whether </w:t>
      </w:r>
      <w:r w:rsidR="003B44AA">
        <w:rPr>
          <w:highlight w:val="lightGray"/>
        </w:rPr>
        <w:t>Recipient</w:t>
      </w:r>
      <w:r>
        <w:t xml:space="preserve"> has </w:t>
      </w:r>
      <w:r w:rsidR="003B44AA">
        <w:t>jurisdiction</w:t>
      </w:r>
      <w:r w:rsidR="00737290">
        <w:t xml:space="preserve"> </w:t>
      </w:r>
      <w:r w:rsidR="003B44AA">
        <w:t xml:space="preserve">over </w:t>
      </w:r>
      <w:proofErr w:type="gramStart"/>
      <w:r w:rsidR="003B44AA">
        <w:t>the reported</w:t>
      </w:r>
      <w:proofErr w:type="gramEnd"/>
      <w:r w:rsidR="003B44AA">
        <w:t xml:space="preserve"> conduct</w:t>
      </w:r>
      <w:r w:rsidR="00737290">
        <w:t>, as defined in the Policy.</w:t>
      </w:r>
    </w:p>
    <w:p w14:paraId="7A290FAE" w14:textId="4F38EBA8" w:rsidR="00BD2E30" w:rsidRDefault="00BD2E30" w:rsidP="005521DD">
      <w:pPr>
        <w:pStyle w:val="ListParagraph"/>
        <w:numPr>
          <w:ilvl w:val="1"/>
          <w:numId w:val="16"/>
        </w:numPr>
      </w:pPr>
      <w:r>
        <w:t xml:space="preserve">If </w:t>
      </w:r>
      <w:r w:rsidR="00737290">
        <w:t xml:space="preserve">the conduct is not within </w:t>
      </w:r>
      <w:r w:rsidR="00737290" w:rsidRPr="00ED3CAB">
        <w:rPr>
          <w:highlight w:val="lightGray"/>
        </w:rPr>
        <w:t>Recipient</w:t>
      </w:r>
      <w:r w:rsidR="00737290">
        <w:t xml:space="preserve"> jurisdiction</w:t>
      </w:r>
      <w:r>
        <w:t xml:space="preserve">, the matter is </w:t>
      </w:r>
      <w:r w:rsidR="00A30433">
        <w:t xml:space="preserve">typically </w:t>
      </w:r>
      <w:r>
        <w:t xml:space="preserve">dismissed from this process, consistent with the dismissal provision in these procedures. </w:t>
      </w:r>
      <w:r w:rsidR="006141F2">
        <w:t xml:space="preserve">If applicable, the conduct will be referred to the appropriate </w:t>
      </w:r>
      <w:r w:rsidR="006141F2" w:rsidRPr="00ED50F9">
        <w:rPr>
          <w:highlight w:val="lightGray"/>
        </w:rPr>
        <w:t>Recipient</w:t>
      </w:r>
      <w:r w:rsidR="006141F2">
        <w:t xml:space="preserve"> office for resolution. </w:t>
      </w:r>
    </w:p>
    <w:p w14:paraId="5107F6A5" w14:textId="5A199114" w:rsidR="002212C4" w:rsidRDefault="001D58A3" w:rsidP="005521DD">
      <w:pPr>
        <w:pStyle w:val="ListParagraph"/>
        <w:numPr>
          <w:ilvl w:val="0"/>
          <w:numId w:val="16"/>
        </w:numPr>
      </w:pPr>
      <w:r>
        <w:t>Offering and coordinating supportive measures for the Complainan</w:t>
      </w:r>
      <w:r w:rsidR="002212C4">
        <w:t>t</w:t>
      </w:r>
      <w:r w:rsidR="003B44AA">
        <w:t>.</w:t>
      </w:r>
      <w:r w:rsidR="002212C4">
        <w:t xml:space="preserve"> </w:t>
      </w:r>
    </w:p>
    <w:p w14:paraId="2C81605B" w14:textId="55B56831" w:rsidR="001D58A3" w:rsidRDefault="002212C4" w:rsidP="005521DD">
      <w:pPr>
        <w:pStyle w:val="ListParagraph"/>
        <w:numPr>
          <w:ilvl w:val="0"/>
          <w:numId w:val="16"/>
        </w:numPr>
      </w:pPr>
      <w:r>
        <w:t xml:space="preserve">Offering and coordinating supportive measures for the Respondent, </w:t>
      </w:r>
      <w:r w:rsidR="00A30433">
        <w:t>as applicable.</w:t>
      </w:r>
    </w:p>
    <w:p w14:paraId="1D226532" w14:textId="76434731" w:rsidR="001D58A3" w:rsidRDefault="003B44AA" w:rsidP="005521DD">
      <w:pPr>
        <w:pStyle w:val="ListParagraph"/>
        <w:numPr>
          <w:ilvl w:val="0"/>
          <w:numId w:val="16"/>
        </w:numPr>
      </w:pPr>
      <w:r>
        <w:t>Notify</w:t>
      </w:r>
      <w:r w:rsidR="00BD2E30">
        <w:t>ing</w:t>
      </w:r>
      <w:r w:rsidR="002212C4">
        <w:t xml:space="preserve"> the Complainant, or the person who reported the allegation</w:t>
      </w:r>
      <w:r w:rsidR="00491838">
        <w:t>(s)</w:t>
      </w:r>
      <w:r w:rsidR="002212C4">
        <w:t>, of the resolution</w:t>
      </w:r>
      <w:r>
        <w:t xml:space="preserve"> processes</w:t>
      </w:r>
      <w:r w:rsidR="002212C4">
        <w:t xml:space="preserve">, including a supportive and remedial response, an Informal Resolution option, or </w:t>
      </w:r>
      <w:r w:rsidR="0030660D" w:rsidRPr="0030660D">
        <w:t>the</w:t>
      </w:r>
      <w:r w:rsidR="002212C4" w:rsidRPr="00ED3CAB">
        <w:t xml:space="preserve"> Resolution Process</w:t>
      </w:r>
      <w:r w:rsidR="0030660D" w:rsidRPr="0030660D">
        <w:t xml:space="preserve"> described</w:t>
      </w:r>
      <w:r w:rsidR="0030660D">
        <w:t xml:space="preserve"> below</w:t>
      </w:r>
      <w:r w:rsidR="002212C4">
        <w:t>.</w:t>
      </w:r>
    </w:p>
    <w:p w14:paraId="56E3FCF0" w14:textId="77777777" w:rsidR="00491838" w:rsidRDefault="00491838" w:rsidP="005521DD">
      <w:pPr>
        <w:pStyle w:val="ListParagraph"/>
        <w:numPr>
          <w:ilvl w:val="0"/>
          <w:numId w:val="16"/>
        </w:numPr>
      </w:pPr>
      <w:r>
        <w:t>Determining whether the Complainant wishes to make a Complaint.</w:t>
      </w:r>
    </w:p>
    <w:p w14:paraId="3919A393" w14:textId="0E53EA31" w:rsidR="003B44AA" w:rsidRPr="0030660D" w:rsidRDefault="00491838" w:rsidP="005521DD">
      <w:pPr>
        <w:pStyle w:val="ListParagraph"/>
        <w:numPr>
          <w:ilvl w:val="0"/>
          <w:numId w:val="16"/>
        </w:numPr>
      </w:pPr>
      <w:r>
        <w:t>N</w:t>
      </w:r>
      <w:r w:rsidR="003B44AA">
        <w:t>otify</w:t>
      </w:r>
      <w:r w:rsidR="00BD2E30">
        <w:t>ing</w:t>
      </w:r>
      <w:r w:rsidR="003B44AA">
        <w:t xml:space="preserve"> the Respondent of the resolution processes,</w:t>
      </w:r>
      <w:r>
        <w:t xml:space="preserve"> </w:t>
      </w:r>
      <w:r w:rsidR="003B44AA">
        <w:t xml:space="preserve">including a supportive and remedial response, an Informal Resolution option, or </w:t>
      </w:r>
      <w:r w:rsidR="0030660D">
        <w:t xml:space="preserve">the </w:t>
      </w:r>
      <w:r w:rsidR="003B44AA" w:rsidRPr="00ED3CAB">
        <w:t>Resolution Process</w:t>
      </w:r>
      <w:r w:rsidR="0030660D" w:rsidRPr="0030660D">
        <w:t xml:space="preserve"> described below</w:t>
      </w:r>
      <w:r>
        <w:t>, if a Complaint is made</w:t>
      </w:r>
      <w:r w:rsidR="003B44AA" w:rsidRPr="0030660D">
        <w:t>.</w:t>
      </w:r>
    </w:p>
    <w:p w14:paraId="6DBDEE17" w14:textId="143D6630" w:rsidR="00CF3E2E" w:rsidRDefault="00CF3E2E" w:rsidP="00CF3E2E"/>
    <w:p w14:paraId="5EFE922E" w14:textId="19134D26" w:rsidR="0007364D" w:rsidRPr="00F539C8" w:rsidRDefault="00AF4137" w:rsidP="00CF3E2E">
      <w:pPr>
        <w:rPr>
          <w:b/>
          <w:bCs/>
          <w:i/>
          <w:iCs/>
        </w:rPr>
      </w:pPr>
      <w:r>
        <w:rPr>
          <w:b/>
          <w:bCs/>
          <w:i/>
          <w:iCs/>
        </w:rPr>
        <w:t xml:space="preserve">Helping a </w:t>
      </w:r>
      <w:r w:rsidR="0007364D" w:rsidRPr="00F539C8">
        <w:rPr>
          <w:b/>
          <w:bCs/>
          <w:i/>
          <w:iCs/>
        </w:rPr>
        <w:t xml:space="preserve">Complainant </w:t>
      </w:r>
      <w:r>
        <w:rPr>
          <w:b/>
          <w:bCs/>
          <w:i/>
          <w:iCs/>
        </w:rPr>
        <w:t>to Understand Options</w:t>
      </w:r>
    </w:p>
    <w:p w14:paraId="4C0EBB52" w14:textId="77777777" w:rsidR="0007364D" w:rsidRDefault="0007364D" w:rsidP="00CF3E2E"/>
    <w:p w14:paraId="55E51132" w14:textId="4BD41F3F" w:rsidR="00CF3E2E" w:rsidRDefault="00CF3E2E" w:rsidP="00CF3E2E">
      <w:r>
        <w:t xml:space="preserve">If the Complainant indicates they wish to </w:t>
      </w:r>
      <w:r w:rsidR="008C4F1F">
        <w:t xml:space="preserve">initiate </w:t>
      </w:r>
      <w:r>
        <w:t xml:space="preserve">a </w:t>
      </w:r>
      <w:r w:rsidR="00F240C0">
        <w:t>Complaint</w:t>
      </w:r>
      <w:r>
        <w:t xml:space="preserve"> (in a manner that can reasonably be construed as reflecting intent to make a </w:t>
      </w:r>
      <w:r w:rsidR="00F240C0">
        <w:t>Complaint</w:t>
      </w:r>
      <w:r>
        <w:t>),</w:t>
      </w:r>
      <w:r w:rsidR="00A1480D">
        <w:t xml:space="preserve"> the </w:t>
      </w:r>
      <w:r w:rsidR="00A1480D" w:rsidRPr="00ED3CAB">
        <w:rPr>
          <w:highlight w:val="lightGray"/>
        </w:rPr>
        <w:t>Administrator</w:t>
      </w:r>
      <w:r w:rsidR="00A1480D">
        <w:t xml:space="preserve"> will help </w:t>
      </w:r>
      <w:r w:rsidR="00D210E6">
        <w:t xml:space="preserve">to </w:t>
      </w:r>
      <w:r w:rsidR="00A1480D">
        <w:t xml:space="preserve">facilitate the </w:t>
      </w:r>
      <w:r w:rsidR="00F240C0">
        <w:t>Complaint</w:t>
      </w:r>
      <w:r w:rsidR="00A1480D">
        <w:t>, which will include:</w:t>
      </w:r>
    </w:p>
    <w:p w14:paraId="24FC3539" w14:textId="77777777" w:rsidR="0007364D" w:rsidRDefault="0007364D" w:rsidP="00F539C8"/>
    <w:p w14:paraId="04C283D1" w14:textId="23BF9239" w:rsidR="00D210E6" w:rsidRDefault="00BD2E30" w:rsidP="005521DD">
      <w:pPr>
        <w:pStyle w:val="ListParagraph"/>
        <w:numPr>
          <w:ilvl w:val="0"/>
          <w:numId w:val="42"/>
        </w:numPr>
      </w:pPr>
      <w:r>
        <w:t xml:space="preserve">Working with the Complainant to determine whether the Complainant </w:t>
      </w:r>
      <w:r w:rsidR="007825D8">
        <w:t>wishes to pursue</w:t>
      </w:r>
      <w:r w:rsidR="00914750">
        <w:t xml:space="preserve"> one of three resolution options: </w:t>
      </w:r>
    </w:p>
    <w:p w14:paraId="542ADC00" w14:textId="0759627D" w:rsidR="00D210E6" w:rsidRDefault="007825D8" w:rsidP="005521DD">
      <w:pPr>
        <w:pStyle w:val="ListParagraph"/>
        <w:numPr>
          <w:ilvl w:val="1"/>
          <w:numId w:val="42"/>
        </w:numPr>
      </w:pPr>
      <w:r>
        <w:t>a</w:t>
      </w:r>
      <w:r w:rsidR="00BD2E30">
        <w:t xml:space="preserve"> supportive and remedial response</w:t>
      </w:r>
      <w:r w:rsidR="00D210E6">
        <w:t>, and/or</w:t>
      </w:r>
    </w:p>
    <w:p w14:paraId="20F02312" w14:textId="244F1EB2" w:rsidR="00D210E6" w:rsidRDefault="00BD2E30" w:rsidP="005521DD">
      <w:pPr>
        <w:pStyle w:val="ListParagraph"/>
        <w:numPr>
          <w:ilvl w:val="1"/>
          <w:numId w:val="42"/>
        </w:numPr>
      </w:pPr>
      <w:r>
        <w:t xml:space="preserve">Informal Resolution, </w:t>
      </w:r>
      <w:r w:rsidR="00AD2DC2">
        <w:t>or</w:t>
      </w:r>
    </w:p>
    <w:p w14:paraId="064F94A0" w14:textId="7C1A6C5C" w:rsidR="00A1480D" w:rsidRDefault="007825D8" w:rsidP="005521DD">
      <w:pPr>
        <w:pStyle w:val="ListParagraph"/>
        <w:numPr>
          <w:ilvl w:val="1"/>
          <w:numId w:val="42"/>
        </w:numPr>
      </w:pPr>
      <w:r w:rsidRPr="00A1480D">
        <w:rPr>
          <w:highlight w:val="lightGray"/>
        </w:rPr>
        <w:t xml:space="preserve">the </w:t>
      </w:r>
      <w:r w:rsidR="00BD2E30" w:rsidRPr="00A1480D">
        <w:rPr>
          <w:highlight w:val="lightGray"/>
        </w:rPr>
        <w:t>Resolution Process</w:t>
      </w:r>
      <w:r w:rsidR="0030660D">
        <w:t xml:space="preserve"> described below</w:t>
      </w:r>
      <w:r w:rsidR="00BD2E30">
        <w:t xml:space="preserve">. </w:t>
      </w:r>
    </w:p>
    <w:p w14:paraId="53B02171" w14:textId="77777777" w:rsidR="007C152D" w:rsidRDefault="007C152D" w:rsidP="007C152D"/>
    <w:p w14:paraId="7C7DD241" w14:textId="753BF0C4" w:rsidR="00BD2E30" w:rsidRDefault="007825D8" w:rsidP="007C152D">
      <w:r>
        <w:lastRenderedPageBreak/>
        <w:t xml:space="preserve">The </w:t>
      </w:r>
      <w:r w:rsidRPr="007C152D">
        <w:rPr>
          <w:highlight w:val="lightGray"/>
        </w:rPr>
        <w:t>Administrator</w:t>
      </w:r>
      <w:r>
        <w:t xml:space="preserve"> will seek to abide by the wishes of the Complainant but may have to take an alternat</w:t>
      </w:r>
      <w:r w:rsidR="008C4F1F">
        <w:t>ive</w:t>
      </w:r>
      <w:r>
        <w:t xml:space="preserve"> approach depending on their analysis of the situation.</w:t>
      </w:r>
    </w:p>
    <w:p w14:paraId="4068FCFB" w14:textId="77777777" w:rsidR="007C152D" w:rsidRDefault="007C152D" w:rsidP="00ED3CAB"/>
    <w:p w14:paraId="7522787A" w14:textId="75FD5C03" w:rsidR="004E5A8B" w:rsidRDefault="00AF4137" w:rsidP="00ED3CAB">
      <w:r>
        <w:t xml:space="preserve">If the Complainant elects for the Resolution Process below, and </w:t>
      </w:r>
      <w:r w:rsidR="0034171F">
        <w:t xml:space="preserve">the </w:t>
      </w:r>
      <w:r w:rsidR="0034171F" w:rsidRPr="007C152D">
        <w:rPr>
          <w:highlight w:val="lightGray"/>
        </w:rPr>
        <w:t>Administrator</w:t>
      </w:r>
      <w:r w:rsidR="0034171F">
        <w:t xml:space="preserve"> has determined the Policy appl</w:t>
      </w:r>
      <w:r>
        <w:t>ies</w:t>
      </w:r>
      <w:r w:rsidR="0034171F">
        <w:t xml:space="preserve"> and that </w:t>
      </w:r>
      <w:r w:rsidR="00AD2DC2">
        <w:t xml:space="preserve">the </w:t>
      </w:r>
      <w:r w:rsidR="00AD2DC2" w:rsidRPr="00ED3CAB">
        <w:rPr>
          <w:highlight w:val="lightGray"/>
        </w:rPr>
        <w:t>Recipient</w:t>
      </w:r>
      <w:r w:rsidR="00AD2DC2">
        <w:t xml:space="preserve"> has </w:t>
      </w:r>
      <w:r w:rsidR="0034171F">
        <w:t xml:space="preserve">jurisdiction, </w:t>
      </w:r>
      <w:r w:rsidR="005D20E2">
        <w:t xml:space="preserve">they will </w:t>
      </w:r>
      <w:r w:rsidR="0034171F">
        <w:t>r</w:t>
      </w:r>
      <w:r w:rsidR="007825D8">
        <w:t>out</w:t>
      </w:r>
      <w:r w:rsidR="005D20E2">
        <w:t>e</w:t>
      </w:r>
      <w:r w:rsidR="007825D8">
        <w:t xml:space="preserve"> the matter to the appropriate </w:t>
      </w:r>
      <w:r w:rsidR="004E5A8B">
        <w:t>R</w:t>
      </w:r>
      <w:r w:rsidR="007825D8">
        <w:t xml:space="preserve">esolution </w:t>
      </w:r>
      <w:r w:rsidR="004E5A8B">
        <w:t>P</w:t>
      </w:r>
      <w:r w:rsidR="007825D8">
        <w:t>rocess</w:t>
      </w:r>
      <w:r>
        <w:t xml:space="preserve">, </w:t>
      </w:r>
      <w:r w:rsidR="004E5A8B">
        <w:t>will provide the Parties with a Notice of Investigation and Allegation</w:t>
      </w:r>
      <w:r w:rsidR="00AD2DC2">
        <w:t>(s)</w:t>
      </w:r>
      <w:r>
        <w:t>,</w:t>
      </w:r>
      <w:r w:rsidR="004E5A8B">
        <w:t xml:space="preserve"> and </w:t>
      </w:r>
      <w:r>
        <w:t xml:space="preserve">will </w:t>
      </w:r>
      <w:r w:rsidR="004E5A8B">
        <w:t xml:space="preserve">initiate an investigation consistent with these Procedures. </w:t>
      </w:r>
    </w:p>
    <w:p w14:paraId="1555DBA3" w14:textId="77777777" w:rsidR="007C152D" w:rsidRDefault="007C152D" w:rsidP="007C152D"/>
    <w:p w14:paraId="44AF2168" w14:textId="32150DD7" w:rsidR="007C152D" w:rsidRDefault="00BD2E30" w:rsidP="00ED3CAB">
      <w:r>
        <w:t xml:space="preserve">If </w:t>
      </w:r>
      <w:r w:rsidR="0034171F">
        <w:t>any Party</w:t>
      </w:r>
      <w:r>
        <w:t xml:space="preserve"> </w:t>
      </w:r>
      <w:r w:rsidR="007825D8">
        <w:t xml:space="preserve">indicates (either verbally or in writing) that they </w:t>
      </w:r>
      <w:r w:rsidR="00734A21">
        <w:t>want</w:t>
      </w:r>
      <w:r w:rsidR="00791870">
        <w:t xml:space="preserve"> to pursue</w:t>
      </w:r>
      <w:r>
        <w:t xml:space="preserve"> an Informal Resolution option, </w:t>
      </w:r>
      <w:r w:rsidR="007825D8">
        <w:t xml:space="preserve">the </w:t>
      </w:r>
      <w:r w:rsidR="007825D8" w:rsidRPr="007C152D">
        <w:rPr>
          <w:highlight w:val="lightGray"/>
        </w:rPr>
        <w:t>Administrator</w:t>
      </w:r>
      <w:r w:rsidR="007825D8">
        <w:t xml:space="preserve"> will </w:t>
      </w:r>
      <w:r>
        <w:t>asses</w:t>
      </w:r>
      <w:r w:rsidR="007825D8">
        <w:t>s</w:t>
      </w:r>
      <w:r>
        <w:t xml:space="preserve"> whether the matter is suitable for Informal Resolution</w:t>
      </w:r>
      <w:r w:rsidR="007C152D">
        <w:t xml:space="preserve"> and r</w:t>
      </w:r>
      <w:r>
        <w:t xml:space="preserve">efer the </w:t>
      </w:r>
      <w:proofErr w:type="gramStart"/>
      <w:r>
        <w:t>matter,</w:t>
      </w:r>
      <w:proofErr w:type="gramEnd"/>
      <w:r>
        <w:t xml:space="preserve"> </w:t>
      </w:r>
      <w:r w:rsidR="007C152D">
        <w:t>accordingly.</w:t>
      </w:r>
    </w:p>
    <w:p w14:paraId="76CD6CF8" w14:textId="77777777" w:rsidR="00AF4137" w:rsidRDefault="00AF4137" w:rsidP="00ED3CAB"/>
    <w:p w14:paraId="659EBFC8" w14:textId="03C76AFC" w:rsidR="00AF4137" w:rsidRPr="007C152D" w:rsidRDefault="007C152D" w:rsidP="00ED3CAB">
      <w:r w:rsidRPr="00ED3CAB">
        <w:rPr>
          <w:rFonts w:asciiTheme="minorHAnsi" w:eastAsiaTheme="minorHAnsi" w:hAnsiTheme="minorHAnsi" w:cstheme="minorHAnsi"/>
        </w:rPr>
        <w:t xml:space="preserve">If the Complainant indicates (either verbally or in writing) that they do not want </w:t>
      </w:r>
      <w:r w:rsidR="001C27A1">
        <w:rPr>
          <w:rFonts w:asciiTheme="minorHAnsi" w:eastAsiaTheme="minorHAnsi" w:hAnsiTheme="minorHAnsi" w:cstheme="minorHAnsi"/>
        </w:rPr>
        <w:t>any action taken</w:t>
      </w:r>
      <w:r w:rsidRPr="00ED3CAB">
        <w:rPr>
          <w:rFonts w:asciiTheme="minorHAnsi" w:eastAsiaTheme="minorHAnsi" w:hAnsiTheme="minorHAnsi" w:cstheme="minorHAnsi"/>
        </w:rPr>
        <w:t xml:space="preserve">, </w:t>
      </w:r>
      <w:r w:rsidR="001C27A1">
        <w:rPr>
          <w:rFonts w:asciiTheme="minorHAnsi" w:eastAsiaTheme="minorHAnsi" w:hAnsiTheme="minorHAnsi" w:cstheme="minorHAnsi"/>
        </w:rPr>
        <w:t>n</w:t>
      </w:r>
      <w:r w:rsidRPr="00ED3CAB">
        <w:rPr>
          <w:rFonts w:asciiTheme="minorHAnsi" w:eastAsiaTheme="minorHAnsi" w:hAnsiTheme="minorHAnsi" w:cstheme="minorHAnsi"/>
        </w:rPr>
        <w:t xml:space="preserve">o Resolution Process </w:t>
      </w:r>
      <w:r>
        <w:rPr>
          <w:rFonts w:asciiTheme="minorHAnsi" w:eastAsiaTheme="minorHAnsi" w:hAnsiTheme="minorHAnsi" w:cstheme="minorHAnsi"/>
        </w:rPr>
        <w:t>will be</w:t>
      </w:r>
      <w:r w:rsidRPr="00ED3CAB">
        <w:rPr>
          <w:rFonts w:asciiTheme="minorHAnsi" w:eastAsiaTheme="minorHAnsi" w:hAnsiTheme="minorHAnsi" w:cstheme="minorHAnsi"/>
        </w:rPr>
        <w:t xml:space="preserve"> initiated (unless deemed necessary by the </w:t>
      </w:r>
      <w:r w:rsidRPr="00ED3CAB">
        <w:rPr>
          <w:rFonts w:asciiTheme="minorHAnsi" w:eastAsiaTheme="minorHAnsi" w:hAnsiTheme="minorHAnsi" w:cstheme="minorHAnsi"/>
          <w:highlight w:val="lightGray"/>
        </w:rPr>
        <w:t>Administrator</w:t>
      </w:r>
      <w:r w:rsidRPr="00ED3CAB">
        <w:rPr>
          <w:rFonts w:asciiTheme="minorHAnsi" w:eastAsiaTheme="minorHAnsi" w:hAnsiTheme="minorHAnsi" w:cstheme="minorHAnsi"/>
        </w:rPr>
        <w:t>), though the Complainant can elect to initiate one later, if desired.</w:t>
      </w:r>
    </w:p>
    <w:p w14:paraId="4E42A987" w14:textId="77777777" w:rsidR="002F3FF0" w:rsidRDefault="002F3FF0" w:rsidP="0007364D"/>
    <w:p w14:paraId="1ED4E859" w14:textId="0672C921" w:rsidR="0007364D" w:rsidRPr="00AF4137" w:rsidRDefault="00AF4137" w:rsidP="0007364D">
      <w:pPr>
        <w:rPr>
          <w:b/>
          <w:bCs/>
          <w:i/>
          <w:iCs/>
        </w:rPr>
      </w:pPr>
      <w:r w:rsidRPr="00AF4053">
        <w:rPr>
          <w:b/>
          <w:bCs/>
          <w:i/>
          <w:iCs/>
          <w:highlight w:val="lightGray"/>
        </w:rPr>
        <w:t>Administrator</w:t>
      </w:r>
      <w:r w:rsidRPr="00ED3CAB">
        <w:rPr>
          <w:b/>
          <w:bCs/>
          <w:i/>
          <w:iCs/>
        </w:rPr>
        <w:t xml:space="preserve"> Authority to Initiate a Complaint</w:t>
      </w:r>
    </w:p>
    <w:p w14:paraId="645F0FDE" w14:textId="77777777" w:rsidR="0007364D" w:rsidRDefault="0007364D" w:rsidP="0007364D"/>
    <w:p w14:paraId="001701F4" w14:textId="56F54BFC" w:rsidR="00A26E98" w:rsidRDefault="0007364D" w:rsidP="00A26E98">
      <w:r>
        <w:t xml:space="preserve">If the Complainant does not wish to file a </w:t>
      </w:r>
      <w:r w:rsidR="00F240C0">
        <w:t>Complaint</w:t>
      </w:r>
      <w:r>
        <w:t xml:space="preserve">, the </w:t>
      </w:r>
      <w:r w:rsidRPr="00ED3CAB">
        <w:rPr>
          <w:highlight w:val="lightGray"/>
        </w:rPr>
        <w:t>Administrator</w:t>
      </w:r>
      <w:r w:rsidR="00A26E98">
        <w:t xml:space="preserve">, who has ultimate discretion as to whether a </w:t>
      </w:r>
      <w:r w:rsidR="00F240C0">
        <w:t>Complaint</w:t>
      </w:r>
      <w:r w:rsidR="002F3FF0">
        <w:t xml:space="preserve"> is </w:t>
      </w:r>
      <w:r w:rsidR="002D055A">
        <w:t>initiated</w:t>
      </w:r>
      <w:r w:rsidR="002F3FF0">
        <w:t>,</w:t>
      </w:r>
      <w:r>
        <w:t xml:space="preserve"> will </w:t>
      </w:r>
      <w:r w:rsidR="00A26E98">
        <w:t xml:space="preserve">offer supportive measures </w:t>
      </w:r>
      <w:r w:rsidR="002D055A">
        <w:t xml:space="preserve">and </w:t>
      </w:r>
      <w:r>
        <w:t xml:space="preserve">determine whether to initiate a </w:t>
      </w:r>
      <w:r w:rsidR="00F240C0">
        <w:t>Complaint</w:t>
      </w:r>
      <w:r>
        <w:t xml:space="preserve"> themselves. </w:t>
      </w:r>
      <w:r w:rsidR="00A26E98">
        <w:t xml:space="preserve">To make this determination, the </w:t>
      </w:r>
      <w:r w:rsidR="00A26E98" w:rsidRPr="0058603B">
        <w:rPr>
          <w:highlight w:val="lightGray"/>
        </w:rPr>
        <w:t>Administrator</w:t>
      </w:r>
      <w:r w:rsidR="00A26E98">
        <w:t xml:space="preserve"> will </w:t>
      </w:r>
      <w:r w:rsidR="00A26E98" w:rsidRPr="009921F6">
        <w:rPr>
          <w:rFonts w:cs="Calibri"/>
        </w:rPr>
        <w:t xml:space="preserve">evaluate that request </w:t>
      </w:r>
      <w:r w:rsidR="009921F6" w:rsidRPr="009921F6">
        <w:rPr>
          <w:rFonts w:cs="Calibri"/>
        </w:rPr>
        <w:t xml:space="preserve">to </w:t>
      </w:r>
      <w:r w:rsidR="009921F6" w:rsidRPr="009921F6">
        <w:rPr>
          <w:rFonts w:eastAsiaTheme="minorHAnsi" w:cs="Calibri"/>
        </w:rPr>
        <w:t xml:space="preserve">determine </w:t>
      </w:r>
      <w:r w:rsidR="009921F6">
        <w:rPr>
          <w:rFonts w:eastAsiaTheme="minorHAnsi" w:cs="Calibri"/>
        </w:rPr>
        <w:t>i</w:t>
      </w:r>
      <w:r w:rsidR="009921F6" w:rsidRPr="009921F6">
        <w:rPr>
          <w:rFonts w:eastAsiaTheme="minorHAnsi" w:cs="Calibri"/>
        </w:rPr>
        <w:t xml:space="preserve">f there is a serious and imminent threat to someone's safety </w:t>
      </w:r>
      <w:r w:rsidR="009921F6">
        <w:rPr>
          <w:rFonts w:eastAsiaTheme="minorHAnsi" w:cs="Calibri"/>
        </w:rPr>
        <w:t xml:space="preserve">or </w:t>
      </w:r>
      <w:r w:rsidR="00634369">
        <w:rPr>
          <w:rFonts w:eastAsiaTheme="minorHAnsi" w:cs="Calibri"/>
        </w:rPr>
        <w:t xml:space="preserve">if </w:t>
      </w:r>
      <w:r w:rsidR="009921F6">
        <w:rPr>
          <w:rFonts w:eastAsiaTheme="minorHAnsi" w:cs="Calibri"/>
        </w:rPr>
        <w:t xml:space="preserve">the </w:t>
      </w:r>
      <w:r w:rsidR="009921F6" w:rsidRPr="009921F6">
        <w:rPr>
          <w:rFonts w:eastAsiaTheme="minorHAnsi" w:cs="Calibri"/>
          <w:highlight w:val="lightGray"/>
        </w:rPr>
        <w:t>Recipient</w:t>
      </w:r>
      <w:r w:rsidR="009921F6">
        <w:rPr>
          <w:rFonts w:eastAsiaTheme="minorHAnsi" w:cs="Calibri"/>
        </w:rPr>
        <w:t xml:space="preserve"> </w:t>
      </w:r>
      <w:r w:rsidR="009921F6" w:rsidRPr="009921F6">
        <w:rPr>
          <w:rFonts w:eastAsiaTheme="minorHAnsi" w:cs="Calibri"/>
        </w:rPr>
        <w:t>cannot ensure equal access</w:t>
      </w:r>
      <w:r w:rsidR="009921F6">
        <w:rPr>
          <w:rFonts w:eastAsiaTheme="minorHAnsi" w:cs="Calibri"/>
        </w:rPr>
        <w:t xml:space="preserve"> without initiating a Complaint</w:t>
      </w:r>
      <w:r w:rsidR="00A26E98" w:rsidRPr="009921F6">
        <w:rPr>
          <w:rFonts w:cs="Calibri"/>
        </w:rPr>
        <w:t>.</w:t>
      </w:r>
      <w:r w:rsidR="00A26E98">
        <w:t xml:space="preserve"> The </w:t>
      </w:r>
      <w:r w:rsidR="00A26E98" w:rsidRPr="00ED3CAB">
        <w:rPr>
          <w:highlight w:val="lightGray"/>
        </w:rPr>
        <w:t>Administrator</w:t>
      </w:r>
      <w:r w:rsidR="00A26E98">
        <w:t xml:space="preserve"> will consider the following non-exhaustive factors to </w:t>
      </w:r>
      <w:r w:rsidR="00EE41D1">
        <w:t>determine</w:t>
      </w:r>
      <w:r w:rsidR="00A26E98">
        <w:t xml:space="preserve"> whether to file a </w:t>
      </w:r>
      <w:r w:rsidR="00F240C0">
        <w:t>Complaint</w:t>
      </w:r>
      <w:r w:rsidR="00A26E98">
        <w:t>:</w:t>
      </w:r>
    </w:p>
    <w:p w14:paraId="638A2ECF" w14:textId="77777777" w:rsidR="00A26E98" w:rsidRDefault="00A26E98" w:rsidP="00A26E98"/>
    <w:p w14:paraId="13C71BFE" w14:textId="46FD42AF" w:rsidR="00A26E98" w:rsidRDefault="00A26E98" w:rsidP="005521DD">
      <w:pPr>
        <w:pStyle w:val="ListParagraph"/>
        <w:numPr>
          <w:ilvl w:val="0"/>
          <w:numId w:val="42"/>
        </w:numPr>
      </w:pPr>
      <w:r>
        <w:t xml:space="preserve">The Complainant’s request not to proceed with initiation of a </w:t>
      </w:r>
      <w:proofErr w:type="gramStart"/>
      <w:r w:rsidR="00F240C0">
        <w:t>Complaint</w:t>
      </w:r>
      <w:r>
        <w:t>;</w:t>
      </w:r>
      <w:proofErr w:type="gramEnd"/>
    </w:p>
    <w:p w14:paraId="5A8B1213" w14:textId="37A564D9" w:rsidR="00A26E98" w:rsidRDefault="00A26E98" w:rsidP="005521DD">
      <w:pPr>
        <w:pStyle w:val="ListParagraph"/>
        <w:numPr>
          <w:ilvl w:val="0"/>
          <w:numId w:val="42"/>
        </w:numPr>
      </w:pPr>
      <w:r>
        <w:t xml:space="preserve">The </w:t>
      </w:r>
      <w:r w:rsidR="002D055A">
        <w:t>C</w:t>
      </w:r>
      <w:r>
        <w:t xml:space="preserve">omplainant’s reasonable safety concerns regarding initiation of a </w:t>
      </w:r>
      <w:proofErr w:type="gramStart"/>
      <w:r w:rsidR="00F240C0">
        <w:t>Complaint</w:t>
      </w:r>
      <w:r>
        <w:t>;</w:t>
      </w:r>
      <w:proofErr w:type="gramEnd"/>
    </w:p>
    <w:p w14:paraId="60AAC9D0" w14:textId="5F1AA52F" w:rsidR="00A26E98" w:rsidRDefault="00A26E98" w:rsidP="005521DD">
      <w:pPr>
        <w:pStyle w:val="ListParagraph"/>
        <w:numPr>
          <w:ilvl w:val="0"/>
          <w:numId w:val="42"/>
        </w:numPr>
      </w:pPr>
      <w:r>
        <w:t xml:space="preserve">The risk that additional acts of discrimination would occur if a </w:t>
      </w:r>
      <w:r w:rsidR="00F240C0">
        <w:t>Complaint</w:t>
      </w:r>
      <w:r>
        <w:t xml:space="preserve"> </w:t>
      </w:r>
      <w:proofErr w:type="gramStart"/>
      <w:r>
        <w:t>is</w:t>
      </w:r>
      <w:proofErr w:type="gramEnd"/>
      <w:r>
        <w:t xml:space="preserve"> not initiated;</w:t>
      </w:r>
    </w:p>
    <w:p w14:paraId="1CB18489" w14:textId="1C3FD970" w:rsidR="00A26E98" w:rsidRDefault="00A26E98" w:rsidP="005521DD">
      <w:pPr>
        <w:pStyle w:val="ListParagraph"/>
        <w:numPr>
          <w:ilvl w:val="0"/>
          <w:numId w:val="42"/>
        </w:numPr>
      </w:pPr>
      <w:r>
        <w:t xml:space="preserve">The severity of the alleged discrimination, including whether the discrimination, if established, would require the removal of a </w:t>
      </w:r>
      <w:r w:rsidR="002D055A">
        <w:t>R</w:t>
      </w:r>
      <w:r>
        <w:t xml:space="preserve">espondent from campus or imposition of another disciplinary sanction to end the discrimination and prevent its </w:t>
      </w:r>
      <w:proofErr w:type="gramStart"/>
      <w:r>
        <w:t>recurrence;</w:t>
      </w:r>
      <w:proofErr w:type="gramEnd"/>
    </w:p>
    <w:p w14:paraId="4081EC04" w14:textId="7F3E535A" w:rsidR="00A26E98" w:rsidRDefault="00A26E98" w:rsidP="005521DD">
      <w:pPr>
        <w:pStyle w:val="ListParagraph"/>
        <w:numPr>
          <w:ilvl w:val="0"/>
          <w:numId w:val="42"/>
        </w:numPr>
      </w:pPr>
      <w:r>
        <w:t xml:space="preserve">The age and relationship of the </w:t>
      </w:r>
      <w:r w:rsidR="0028631C">
        <w:t>Parties</w:t>
      </w:r>
      <w:r>
        <w:t xml:space="preserve">, including whether the </w:t>
      </w:r>
      <w:r w:rsidR="002D055A">
        <w:t>R</w:t>
      </w:r>
      <w:r>
        <w:t xml:space="preserve">espondent is a </w:t>
      </w:r>
      <w:r w:rsidR="00EE41D1" w:rsidRPr="0092610F">
        <w:rPr>
          <w:highlight w:val="lightGray"/>
        </w:rPr>
        <w:t>Recipient</w:t>
      </w:r>
      <w:r w:rsidR="00EE41D1">
        <w:t xml:space="preserve"> </w:t>
      </w:r>
      <w:proofErr w:type="gramStart"/>
      <w:r>
        <w:t>employee;</w:t>
      </w:r>
      <w:proofErr w:type="gramEnd"/>
    </w:p>
    <w:p w14:paraId="47EDD485" w14:textId="4A12F697" w:rsidR="00A26E98" w:rsidRDefault="00A26E98" w:rsidP="005521DD">
      <w:pPr>
        <w:pStyle w:val="ListParagraph"/>
        <w:numPr>
          <w:ilvl w:val="0"/>
          <w:numId w:val="42"/>
        </w:numPr>
      </w:pPr>
      <w:r>
        <w:t xml:space="preserve">The scope of the alleged discrimination, including information suggesting a pattern, ongoing discrimination, or discrimination alleged to have impacted multiple </w:t>
      </w:r>
      <w:proofErr w:type="gramStart"/>
      <w:r>
        <w:t>individuals;</w:t>
      </w:r>
      <w:proofErr w:type="gramEnd"/>
    </w:p>
    <w:p w14:paraId="4D1C0965" w14:textId="1510AEFD" w:rsidR="00A26E98" w:rsidRDefault="00A26E98" w:rsidP="005521DD">
      <w:pPr>
        <w:pStyle w:val="ListParagraph"/>
        <w:numPr>
          <w:ilvl w:val="0"/>
          <w:numId w:val="42"/>
        </w:numPr>
      </w:pPr>
      <w:r>
        <w:t xml:space="preserve">The availability of evidence to assist a </w:t>
      </w:r>
      <w:r w:rsidR="002D055A">
        <w:t>D</w:t>
      </w:r>
      <w:r>
        <w:t>ecision</w:t>
      </w:r>
      <w:r w:rsidR="002D055A">
        <w:t>-</w:t>
      </w:r>
      <w:r>
        <w:t xml:space="preserve">maker in determining whether discrimination </w:t>
      </w:r>
      <w:proofErr w:type="gramStart"/>
      <w:r>
        <w:t>occurred;</w:t>
      </w:r>
      <w:proofErr w:type="gramEnd"/>
      <w:r>
        <w:t xml:space="preserve"> </w:t>
      </w:r>
    </w:p>
    <w:p w14:paraId="74EF6A21" w14:textId="1D912AD4" w:rsidR="00A26E98" w:rsidRDefault="00A26E98" w:rsidP="005521DD">
      <w:pPr>
        <w:pStyle w:val="ListParagraph"/>
        <w:numPr>
          <w:ilvl w:val="0"/>
          <w:numId w:val="42"/>
        </w:numPr>
      </w:pPr>
      <w:r>
        <w:t xml:space="preserve">Whether the </w:t>
      </w:r>
      <w:r w:rsidRPr="00ED3CAB">
        <w:rPr>
          <w:highlight w:val="lightGray"/>
        </w:rPr>
        <w:t>Recipient</w:t>
      </w:r>
      <w:r>
        <w:t xml:space="preserve"> could end the alleged discrimination and prevent its recurrence without initiating its resolution process.</w:t>
      </w:r>
    </w:p>
    <w:p w14:paraId="4F6576AD" w14:textId="7C2DB55B" w:rsidR="0007364D" w:rsidRDefault="0007364D" w:rsidP="00F539C8"/>
    <w:p w14:paraId="31398349" w14:textId="44341E75" w:rsidR="002F3FF0" w:rsidRDefault="00CE434B" w:rsidP="00A26E98">
      <w:r>
        <w:lastRenderedPageBreak/>
        <w:t>If deemed necessary, t</w:t>
      </w:r>
      <w:r w:rsidR="002F3FF0">
        <w:t xml:space="preserve">he </w:t>
      </w:r>
      <w:r w:rsidR="002F3FF0" w:rsidRPr="00ED3CAB">
        <w:rPr>
          <w:highlight w:val="lightGray"/>
        </w:rPr>
        <w:t>Administrator</w:t>
      </w:r>
      <w:r w:rsidR="002F3FF0">
        <w:t xml:space="preserve"> may consult with appropriate </w:t>
      </w:r>
      <w:r w:rsidR="002F3FF0" w:rsidRPr="00ED3CAB">
        <w:rPr>
          <w:highlight w:val="lightGray"/>
        </w:rPr>
        <w:t>Recipient</w:t>
      </w:r>
      <w:r w:rsidR="002F3FF0" w:rsidRPr="00D715ED">
        <w:t xml:space="preserve"> employees</w:t>
      </w:r>
      <w:r w:rsidR="002F3FF0">
        <w:t>, and/or conduct a violence risk assessment</w:t>
      </w:r>
      <w:r w:rsidR="007D677C">
        <w:rPr>
          <w:rStyle w:val="FootnoteReference"/>
        </w:rPr>
        <w:footnoteReference w:id="26"/>
      </w:r>
      <w:r w:rsidR="002F3FF0">
        <w:t xml:space="preserve"> to aid their determination w</w:t>
      </w:r>
      <w:r w:rsidR="002D055A">
        <w:t>he</w:t>
      </w:r>
      <w:r w:rsidR="002F3FF0">
        <w:t xml:space="preserve">ther to initiate a </w:t>
      </w:r>
      <w:r w:rsidR="00F240C0">
        <w:t>Complaint</w:t>
      </w:r>
      <w:r w:rsidR="002F3FF0">
        <w:t>.</w:t>
      </w:r>
    </w:p>
    <w:p w14:paraId="5368FA4B" w14:textId="77777777" w:rsidR="002F3FF0" w:rsidRDefault="002F3FF0" w:rsidP="00A26E98"/>
    <w:p w14:paraId="4A679F50" w14:textId="1E81437A" w:rsidR="00ED50F9" w:rsidRDefault="002F3FF0" w:rsidP="00F539C8">
      <w:r w:rsidRPr="002F3FF0">
        <w:t xml:space="preserve">When the </w:t>
      </w:r>
      <w:r w:rsidRPr="00ED3CAB">
        <w:rPr>
          <w:highlight w:val="lightGray"/>
        </w:rPr>
        <w:t>Administrator</w:t>
      </w:r>
      <w:r w:rsidRPr="002F3FF0">
        <w:t xml:space="preserve"> initiates a </w:t>
      </w:r>
      <w:r w:rsidR="00F240C0">
        <w:t>Complaint</w:t>
      </w:r>
      <w:r w:rsidRPr="002F3FF0">
        <w:t xml:space="preserve">, they do not become the Complainant. The Complainant is the </w:t>
      </w:r>
      <w:r>
        <w:t xml:space="preserve">person who experienced the alleged conduct </w:t>
      </w:r>
      <w:r w:rsidRPr="002F3FF0">
        <w:t>that could constitute a violation of this Policy.</w:t>
      </w:r>
    </w:p>
    <w:p w14:paraId="1F210CE1" w14:textId="77777777" w:rsidR="00ED50F9" w:rsidRDefault="00ED50F9" w:rsidP="00ED50F9"/>
    <w:p w14:paraId="59064C4D" w14:textId="6D866F12" w:rsidR="004D6F7D" w:rsidRDefault="004D6F7D" w:rsidP="00733859">
      <w:pPr>
        <w:pStyle w:val="Heading1"/>
      </w:pPr>
      <w:bookmarkStart w:id="67" w:name="_Toc168477528"/>
      <w:r>
        <w:t>Dismissal</w:t>
      </w:r>
      <w:bookmarkEnd w:id="67"/>
    </w:p>
    <w:p w14:paraId="1B700178" w14:textId="77777777" w:rsidR="004D6F7D" w:rsidRDefault="004D6F7D" w:rsidP="00D0011B"/>
    <w:p w14:paraId="32F5241F" w14:textId="14F438B1" w:rsidR="004D6F7D" w:rsidRDefault="004D6F7D" w:rsidP="002F3FF0">
      <w:r>
        <w:t xml:space="preserve">The </w:t>
      </w:r>
      <w:r w:rsidRPr="003D4F66">
        <w:rPr>
          <w:highlight w:val="lightGray"/>
        </w:rPr>
        <w:t>Recipient</w:t>
      </w:r>
      <w:r>
        <w:t xml:space="preserve"> </w:t>
      </w:r>
      <w:r w:rsidRPr="00AF4053">
        <w:rPr>
          <w:b/>
          <w:bCs/>
        </w:rPr>
        <w:t>may</w:t>
      </w:r>
      <w:r>
        <w:t xml:space="preserve"> dismiss a </w:t>
      </w:r>
      <w:r w:rsidR="00F240C0">
        <w:t>Complaint</w:t>
      </w:r>
      <w:r>
        <w:t xml:space="preserve"> if, at any time during the investigation or </w:t>
      </w:r>
      <w:r w:rsidR="00CE434B">
        <w:t>R</w:t>
      </w:r>
      <w:r>
        <w:t xml:space="preserve">esolution </w:t>
      </w:r>
      <w:r w:rsidR="00CE434B">
        <w:t>P</w:t>
      </w:r>
      <w:r>
        <w:t>rocess</w:t>
      </w:r>
      <w:r w:rsidR="00EB19E3">
        <w:t>,</w:t>
      </w:r>
      <w:r w:rsidR="007D677C">
        <w:t xml:space="preserve"> one or more of the following grounds are </w:t>
      </w:r>
      <w:r w:rsidR="00CE434B">
        <w:t>met</w:t>
      </w:r>
      <w:r>
        <w:t xml:space="preserve">: </w:t>
      </w:r>
    </w:p>
    <w:p w14:paraId="017796B4" w14:textId="77777777" w:rsidR="004D6F7D" w:rsidRDefault="004D6F7D" w:rsidP="004D6F7D">
      <w:pPr>
        <w:ind w:left="720"/>
      </w:pPr>
    </w:p>
    <w:p w14:paraId="23A7A449" w14:textId="3ACDE0CC" w:rsidR="004D6F7D" w:rsidRDefault="004D6F7D" w:rsidP="005521DD">
      <w:pPr>
        <w:pStyle w:val="ListParagraph"/>
        <w:numPr>
          <w:ilvl w:val="0"/>
          <w:numId w:val="17"/>
        </w:numPr>
      </w:pPr>
      <w:r>
        <w:t xml:space="preserve">The </w:t>
      </w:r>
      <w:r w:rsidRPr="005E6B05">
        <w:rPr>
          <w:highlight w:val="lightGray"/>
        </w:rPr>
        <w:t>Recipient</w:t>
      </w:r>
      <w:r>
        <w:t xml:space="preserve"> is unable to identify the Respondent after taking reasonable steps to do so</w:t>
      </w:r>
    </w:p>
    <w:p w14:paraId="24B27821" w14:textId="0F77F76B" w:rsidR="004D6F7D" w:rsidRDefault="004D6F7D" w:rsidP="005521DD">
      <w:pPr>
        <w:pStyle w:val="ListParagraph"/>
        <w:numPr>
          <w:ilvl w:val="0"/>
          <w:numId w:val="17"/>
        </w:numPr>
      </w:pPr>
      <w:r>
        <w:t xml:space="preserve">The </w:t>
      </w:r>
      <w:r w:rsidRPr="00AF4053">
        <w:rPr>
          <w:highlight w:val="lightGray"/>
        </w:rPr>
        <w:t>Recipient</w:t>
      </w:r>
      <w:r>
        <w:t xml:space="preserve"> no longer enrolls or employs the Respondent</w:t>
      </w:r>
    </w:p>
    <w:p w14:paraId="5FD0E11B" w14:textId="58060247" w:rsidR="00564B63" w:rsidRDefault="004D6F7D" w:rsidP="005521DD">
      <w:pPr>
        <w:pStyle w:val="ListParagraph"/>
        <w:numPr>
          <w:ilvl w:val="0"/>
          <w:numId w:val="17"/>
        </w:numPr>
      </w:pPr>
      <w:r>
        <w:t xml:space="preserve">A Complainant </w:t>
      </w:r>
      <w:r w:rsidR="00564B63">
        <w:t xml:space="preserve">voluntarily withdraws any or </w:t>
      </w:r>
      <w:proofErr w:type="gramStart"/>
      <w:r w:rsidR="00564B63">
        <w:t>all of</w:t>
      </w:r>
      <w:proofErr w:type="gramEnd"/>
      <w:r w:rsidR="00564B63">
        <w:t xml:space="preserve"> the allegations in the </w:t>
      </w:r>
      <w:r w:rsidR="00F240C0">
        <w:t>Complaint</w:t>
      </w:r>
      <w:r w:rsidR="00564B63">
        <w:t xml:space="preserve">, and the </w:t>
      </w:r>
      <w:r w:rsidR="00564B63" w:rsidRPr="005E6B05">
        <w:rPr>
          <w:highlight w:val="lightGray"/>
        </w:rPr>
        <w:t>Administrator</w:t>
      </w:r>
      <w:r w:rsidR="00564B63">
        <w:t xml:space="preserve"> declines to initiate a </w:t>
      </w:r>
      <w:r w:rsidR="00F240C0">
        <w:t>Complaint</w:t>
      </w:r>
    </w:p>
    <w:p w14:paraId="33EB190B" w14:textId="7AA3858E" w:rsidR="004D6F7D" w:rsidRDefault="00617752" w:rsidP="005521DD">
      <w:pPr>
        <w:pStyle w:val="ListParagraph"/>
        <w:numPr>
          <w:ilvl w:val="0"/>
          <w:numId w:val="17"/>
        </w:numPr>
      </w:pPr>
      <w:r>
        <w:t>T</w:t>
      </w:r>
      <w:r w:rsidR="004D6F7D">
        <w:t xml:space="preserve">he </w:t>
      </w:r>
      <w:r w:rsidRPr="005E6B05">
        <w:rPr>
          <w:highlight w:val="lightGray"/>
        </w:rPr>
        <w:t>Recipient</w:t>
      </w:r>
      <w:r w:rsidR="004D6F7D">
        <w:t xml:space="preserve"> </w:t>
      </w:r>
      <w:r>
        <w:t xml:space="preserve">determines the conduct alleged in the </w:t>
      </w:r>
      <w:r w:rsidR="00F240C0">
        <w:t>Complaint</w:t>
      </w:r>
      <w:r>
        <w:t xml:space="preserve"> </w:t>
      </w:r>
      <w:proofErr w:type="gramStart"/>
      <w:r>
        <w:t>would</w:t>
      </w:r>
      <w:proofErr w:type="gramEnd"/>
      <w:r>
        <w:t xml:space="preserve"> not constitute a </w:t>
      </w:r>
      <w:r w:rsidR="00D715ED">
        <w:t>P</w:t>
      </w:r>
      <w:r>
        <w:t>olicy violation, if proven</w:t>
      </w:r>
    </w:p>
    <w:p w14:paraId="0F430ADA" w14:textId="77777777" w:rsidR="004D6F7D" w:rsidRDefault="004D6F7D" w:rsidP="004D6F7D">
      <w:pPr>
        <w:ind w:left="720"/>
      </w:pPr>
    </w:p>
    <w:p w14:paraId="1A0410DC" w14:textId="7C4D3194" w:rsidR="004D6F7D" w:rsidRDefault="0040077D" w:rsidP="00F539C8">
      <w:r>
        <w:t xml:space="preserve">A Decision-maker can recommend dismissal to the </w:t>
      </w:r>
      <w:r w:rsidRPr="009A08D4">
        <w:rPr>
          <w:highlight w:val="lightGray"/>
        </w:rPr>
        <w:t>Administrator</w:t>
      </w:r>
      <w:r>
        <w:t xml:space="preserve">, if they believe the grounds are met. </w:t>
      </w:r>
      <w:r w:rsidR="004D6F7D">
        <w:t xml:space="preserve">A Complainant who decides to withdraw a </w:t>
      </w:r>
      <w:r w:rsidR="00F240C0">
        <w:t>Complaint</w:t>
      </w:r>
      <w:r w:rsidR="004D6F7D">
        <w:t xml:space="preserve"> may later request to reinstate or refile it. </w:t>
      </w:r>
    </w:p>
    <w:p w14:paraId="29077C39" w14:textId="77777777" w:rsidR="004D6F7D" w:rsidRDefault="004D6F7D" w:rsidP="004D6F7D">
      <w:pPr>
        <w:ind w:left="720"/>
      </w:pPr>
    </w:p>
    <w:p w14:paraId="1F35684E" w14:textId="4836B7BD" w:rsidR="004D6F7D" w:rsidRDefault="004D6F7D" w:rsidP="00F539C8">
      <w:r>
        <w:t xml:space="preserve">Upon any dismissal, the </w:t>
      </w:r>
      <w:r w:rsidRPr="003D4F66">
        <w:rPr>
          <w:highlight w:val="lightGray"/>
        </w:rPr>
        <w:t>Recipient</w:t>
      </w:r>
      <w:r>
        <w:t xml:space="preserve"> will promptly send </w:t>
      </w:r>
      <w:r w:rsidR="00617752">
        <w:t xml:space="preserve">the Complainant </w:t>
      </w:r>
      <w:r>
        <w:t>written noti</w:t>
      </w:r>
      <w:r w:rsidR="00BD18A8">
        <w:t>fication</w:t>
      </w:r>
      <w:r>
        <w:t xml:space="preserve"> of the dismissal and the rationale for doing so. </w:t>
      </w:r>
      <w:r w:rsidR="00617752">
        <w:t xml:space="preserve">If the dismissal occurs after </w:t>
      </w:r>
      <w:r w:rsidR="00562739">
        <w:t>the Respondent has been made aware of the allegations</w:t>
      </w:r>
      <w:r w:rsidR="00617752">
        <w:t xml:space="preserve">, the </w:t>
      </w:r>
      <w:r w:rsidR="00617752" w:rsidRPr="00ED3CAB">
        <w:rPr>
          <w:highlight w:val="lightGray"/>
        </w:rPr>
        <w:t>Recipient</w:t>
      </w:r>
      <w:r w:rsidR="00617752">
        <w:t xml:space="preserve"> will also notify the Respondent of the dismissal. </w:t>
      </w:r>
    </w:p>
    <w:p w14:paraId="5EEF4AC1" w14:textId="77777777" w:rsidR="004D6F7D" w:rsidRDefault="004D6F7D" w:rsidP="004D6F7D">
      <w:pPr>
        <w:ind w:left="720"/>
      </w:pPr>
    </w:p>
    <w:p w14:paraId="0F99D172" w14:textId="5667B411" w:rsidR="00BA3599" w:rsidRDefault="004D6F7D" w:rsidP="00F539C8">
      <w:r>
        <w:t>This dismissal decision is appealable by any party</w:t>
      </w:r>
      <w:r w:rsidR="00BA3599">
        <w:t>.</w:t>
      </w:r>
    </w:p>
    <w:p w14:paraId="04C00EEC" w14:textId="77777777" w:rsidR="00BA3599" w:rsidRDefault="00BA3599" w:rsidP="004D6F7D">
      <w:pPr>
        <w:ind w:left="720"/>
      </w:pPr>
    </w:p>
    <w:p w14:paraId="4B5AF7DA" w14:textId="3A0C7228" w:rsidR="0023382F" w:rsidRPr="00F539C8" w:rsidRDefault="002F3FF0" w:rsidP="00ED3CAB">
      <w:pPr>
        <w:pStyle w:val="Heading1"/>
      </w:pPr>
      <w:bookmarkStart w:id="68" w:name="_Toc168477529"/>
      <w:r w:rsidRPr="00F539C8">
        <w:t>Appeal of Dismissal</w:t>
      </w:r>
      <w:bookmarkEnd w:id="68"/>
    </w:p>
    <w:p w14:paraId="27565E65" w14:textId="77777777" w:rsidR="00733859" w:rsidRDefault="00733859" w:rsidP="0023382F">
      <w:pPr>
        <w:rPr>
          <w:highlight w:val="green"/>
        </w:rPr>
      </w:pPr>
    </w:p>
    <w:p w14:paraId="0C18C2F4" w14:textId="35CBE1D7" w:rsidR="002C7BAC" w:rsidRDefault="0023382F" w:rsidP="0023382F">
      <w:r w:rsidRPr="00F539C8">
        <w:t xml:space="preserve">The Complainant may </w:t>
      </w:r>
      <w:proofErr w:type="gramStart"/>
      <w:r w:rsidRPr="00F539C8">
        <w:t>appeal</w:t>
      </w:r>
      <w:proofErr w:type="gramEnd"/>
      <w:r w:rsidRPr="00F539C8">
        <w:t xml:space="preserve"> a dismissal of their </w:t>
      </w:r>
      <w:r w:rsidR="00F240C0">
        <w:t>Complaint</w:t>
      </w:r>
      <w:r w:rsidRPr="00F539C8">
        <w:t xml:space="preserve">. The Respondent may also </w:t>
      </w:r>
      <w:proofErr w:type="gramStart"/>
      <w:r w:rsidRPr="00F539C8">
        <w:t>appeal</w:t>
      </w:r>
      <w:proofErr w:type="gramEnd"/>
      <w:r w:rsidRPr="00F539C8">
        <w:t xml:space="preserve"> the dismissal of the </w:t>
      </w:r>
      <w:r w:rsidR="00F240C0">
        <w:t>Complaint</w:t>
      </w:r>
      <w:r w:rsidRPr="00F539C8">
        <w:t xml:space="preserve"> i</w:t>
      </w:r>
      <w:r w:rsidR="000F24A8" w:rsidRPr="000F24A8">
        <w:t>f</w:t>
      </w:r>
      <w:r w:rsidRPr="000F24A8">
        <w:t xml:space="preserve"> dismissal</w:t>
      </w:r>
      <w:r>
        <w:t xml:space="preserve"> occurs after the Respondent has been made aware of the allegations</w:t>
      </w:r>
      <w:r w:rsidR="004F6908">
        <w:t xml:space="preserve">. </w:t>
      </w:r>
      <w:r w:rsidR="00A41689">
        <w:t xml:space="preserve">All dismissal appeal </w:t>
      </w:r>
      <w:r w:rsidR="00CE434B">
        <w:t>requests</w:t>
      </w:r>
      <w:r w:rsidR="00A41689">
        <w:t xml:space="preserve"> must be filed within </w:t>
      </w:r>
      <w:r w:rsidR="00A41689" w:rsidRPr="00ED3CAB">
        <w:rPr>
          <w:highlight w:val="lightGray"/>
        </w:rPr>
        <w:t xml:space="preserve">three (3) </w:t>
      </w:r>
      <w:r w:r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8957" w14:textId="77777777" w:rsidR="002C7BAC" w:rsidRDefault="002C7BAC" w:rsidP="0023382F"/>
    <w:p w14:paraId="12C8DFE7" w14:textId="6F36F52E" w:rsidR="0023382F" w:rsidRDefault="004F6908" w:rsidP="0023382F">
      <w:r>
        <w:t xml:space="preserve">The </w:t>
      </w:r>
      <w:r w:rsidRPr="00ED3CAB">
        <w:rPr>
          <w:highlight w:val="lightGray"/>
        </w:rPr>
        <w:t>Administrator</w:t>
      </w:r>
      <w:r>
        <w:t xml:space="preserve"> will notify the Parties of any appeal </w:t>
      </w:r>
      <w:proofErr w:type="gramStart"/>
      <w:r>
        <w:t>of</w:t>
      </w:r>
      <w:proofErr w:type="gramEnd"/>
      <w:r>
        <w:t xml:space="preserve"> the dismissal. If, however, the Complainant appeals, but the Respondent was not notified of the </w:t>
      </w:r>
      <w:r w:rsidR="00F240C0">
        <w:t>Complaint</w:t>
      </w:r>
      <w:r>
        <w:t xml:space="preserve">, the </w:t>
      </w:r>
      <w:r w:rsidRPr="00ED3CAB">
        <w:rPr>
          <w:highlight w:val="lightGray"/>
        </w:rPr>
        <w:t>Administrator</w:t>
      </w:r>
      <w:r>
        <w:t xml:space="preserve"> </w:t>
      </w:r>
      <w:r>
        <w:lastRenderedPageBreak/>
        <w:t xml:space="preserve">must </w:t>
      </w:r>
      <w:r w:rsidR="003F0FE2">
        <w:t xml:space="preserve">then </w:t>
      </w:r>
      <w:r>
        <w:t>provide the Respondent with a NOIA and will notify the Respondent of the Complainant’s appeal</w:t>
      </w:r>
      <w:r w:rsidR="003F0FE2">
        <w:t xml:space="preserve"> with an opportunity to respond</w:t>
      </w:r>
      <w:r>
        <w:t>.</w:t>
      </w:r>
    </w:p>
    <w:p w14:paraId="43716214" w14:textId="77777777" w:rsidR="000F24A8" w:rsidRDefault="000F24A8" w:rsidP="0023382F"/>
    <w:p w14:paraId="5640FF2F" w14:textId="2CE2C77A" w:rsidR="000F24A8" w:rsidRDefault="000F24A8" w:rsidP="000F24A8">
      <w:r>
        <w:t xml:space="preserve">Throughout the dismissal appeal process, the </w:t>
      </w:r>
      <w:r w:rsidRPr="00ED3CAB">
        <w:rPr>
          <w:highlight w:val="lightGray"/>
        </w:rPr>
        <w:t>Recipient</w:t>
      </w:r>
      <w:r>
        <w:t xml:space="preserve"> will: </w:t>
      </w:r>
    </w:p>
    <w:p w14:paraId="2AE4095F" w14:textId="77777777" w:rsidR="003B5290" w:rsidRDefault="003B5290" w:rsidP="000F24A8"/>
    <w:p w14:paraId="168A92A1" w14:textId="77777777" w:rsidR="000F24A8" w:rsidRDefault="000F24A8" w:rsidP="005521DD">
      <w:pPr>
        <w:pStyle w:val="ListParagraph"/>
        <w:numPr>
          <w:ilvl w:val="0"/>
          <w:numId w:val="44"/>
        </w:numPr>
      </w:pPr>
      <w:r>
        <w:t xml:space="preserve">Implement dismissal appeal procedures equally for the </w:t>
      </w:r>
      <w:proofErr w:type="gramStart"/>
      <w:r>
        <w:t>Parties;</w:t>
      </w:r>
      <w:proofErr w:type="gramEnd"/>
    </w:p>
    <w:p w14:paraId="5D27FB2F" w14:textId="50A3984C" w:rsidR="000F24A8" w:rsidRDefault="000F24A8" w:rsidP="005521DD">
      <w:pPr>
        <w:pStyle w:val="ListParagraph"/>
        <w:numPr>
          <w:ilvl w:val="0"/>
          <w:numId w:val="44"/>
        </w:numPr>
      </w:pPr>
      <w:r>
        <w:t xml:space="preserve">Assign a trained </w:t>
      </w:r>
      <w:r w:rsidR="00EB5750">
        <w:t>D</w:t>
      </w:r>
      <w:r>
        <w:t xml:space="preserve">ismissal </w:t>
      </w:r>
      <w:r w:rsidR="00EB5750">
        <w:t>A</w:t>
      </w:r>
      <w:r>
        <w:t xml:space="preserve">ppeal </w:t>
      </w:r>
      <w:r w:rsidR="00EB5750">
        <w:t>Officer</w:t>
      </w:r>
      <w:r>
        <w:t xml:space="preserve"> who did not take part in an investigation of the allegations or dismissal of the </w:t>
      </w:r>
      <w:proofErr w:type="gramStart"/>
      <w:r w:rsidR="00F240C0">
        <w:t>Complaint</w:t>
      </w:r>
      <w:r>
        <w:t>;</w:t>
      </w:r>
      <w:proofErr w:type="gramEnd"/>
    </w:p>
    <w:p w14:paraId="61DC2BF7" w14:textId="2F166C3C" w:rsidR="000F24A8" w:rsidRDefault="000F24A8" w:rsidP="005521DD">
      <w:pPr>
        <w:pStyle w:val="ListParagraph"/>
        <w:numPr>
          <w:ilvl w:val="0"/>
          <w:numId w:val="44"/>
        </w:numPr>
      </w:pPr>
      <w:r>
        <w:t xml:space="preserve">Provide the </w:t>
      </w:r>
      <w:proofErr w:type="gramStart"/>
      <w:r>
        <w:t>Parties</w:t>
      </w:r>
      <w:proofErr w:type="gramEnd"/>
      <w:r>
        <w:t xml:space="preserve"> a reasonable and equal opportunity to make a statement in support of, or challenging, the </w:t>
      </w:r>
      <w:r w:rsidR="00986C86">
        <w:t>dismissal</w:t>
      </w:r>
      <w:r>
        <w:t>; and</w:t>
      </w:r>
    </w:p>
    <w:p w14:paraId="568F802A" w14:textId="0A42FE5C" w:rsidR="000F24A8" w:rsidRDefault="000F24A8" w:rsidP="005521DD">
      <w:pPr>
        <w:pStyle w:val="ListParagraph"/>
        <w:numPr>
          <w:ilvl w:val="0"/>
          <w:numId w:val="44"/>
        </w:numPr>
      </w:pPr>
      <w:r>
        <w:t xml:space="preserve">Notify the </w:t>
      </w:r>
      <w:r w:rsidR="00D715ED">
        <w:t>P</w:t>
      </w:r>
      <w:r>
        <w:t>arties of the result of the appeal and the rationale for the result.</w:t>
      </w:r>
    </w:p>
    <w:p w14:paraId="007D9703" w14:textId="3470EC4B" w:rsidR="000F24A8" w:rsidRDefault="000F24A8" w:rsidP="0023382F"/>
    <w:p w14:paraId="6D45500B" w14:textId="09EB5B20" w:rsidR="000F24A8" w:rsidRDefault="000F24A8" w:rsidP="0023382F">
      <w:r>
        <w:t>The grounds for dismissal appeals are limited to:</w:t>
      </w:r>
    </w:p>
    <w:p w14:paraId="5D7E6C3E" w14:textId="77777777" w:rsidR="000F24A8" w:rsidRDefault="000F24A8" w:rsidP="0023382F"/>
    <w:p w14:paraId="55F9EEDD" w14:textId="79F9ED1C" w:rsidR="000F24A8" w:rsidRPr="00102F7F" w:rsidRDefault="000F24A8" w:rsidP="005521DD">
      <w:pPr>
        <w:pStyle w:val="ListParagraph"/>
        <w:numPr>
          <w:ilvl w:val="0"/>
          <w:numId w:val="43"/>
        </w:numPr>
      </w:pPr>
      <w:r w:rsidRPr="00102F7F">
        <w:t xml:space="preserve">Procedural irregularity that would change the </w:t>
      </w:r>
      <w:proofErr w:type="gramStart"/>
      <w:r w:rsidRPr="00102F7F">
        <w:t>outcome;</w:t>
      </w:r>
      <w:proofErr w:type="gramEnd"/>
    </w:p>
    <w:p w14:paraId="306A7419" w14:textId="0A389D7B" w:rsidR="000F24A8" w:rsidRPr="00102F7F" w:rsidRDefault="000F24A8" w:rsidP="005521DD">
      <w:pPr>
        <w:pStyle w:val="ListParagraph"/>
        <w:numPr>
          <w:ilvl w:val="0"/>
          <w:numId w:val="43"/>
        </w:numPr>
      </w:pPr>
      <w:r w:rsidRPr="00102F7F">
        <w:t xml:space="preserve">New evidence that would change the outcome and that was not reasonably available when the dismissal was </w:t>
      </w:r>
      <w:proofErr w:type="gramStart"/>
      <w:r w:rsidR="00986C86">
        <w:t>decided</w:t>
      </w:r>
      <w:r w:rsidRPr="00102F7F">
        <w:t>;</w:t>
      </w:r>
      <w:proofErr w:type="gramEnd"/>
      <w:r w:rsidRPr="00102F7F">
        <w:t xml:space="preserve"> </w:t>
      </w:r>
    </w:p>
    <w:p w14:paraId="30609AEE" w14:textId="19F1DC40" w:rsidR="000F24A8" w:rsidRDefault="000F24A8" w:rsidP="005521DD">
      <w:pPr>
        <w:pStyle w:val="ListParagraph"/>
        <w:numPr>
          <w:ilvl w:val="0"/>
          <w:numId w:val="43"/>
        </w:numPr>
      </w:pPr>
      <w:r w:rsidRPr="00102F7F">
        <w:t xml:space="preserve">The </w:t>
      </w:r>
      <w:r w:rsidRPr="00ED3CAB">
        <w:rPr>
          <w:highlight w:val="lightGray"/>
        </w:rPr>
        <w:t>Administrator</w:t>
      </w:r>
      <w:r w:rsidRPr="00102F7F">
        <w:t xml:space="preserve">, </w:t>
      </w:r>
      <w:r w:rsidR="00EE226B">
        <w:t>I</w:t>
      </w:r>
      <w:r w:rsidRPr="00102F7F">
        <w:t xml:space="preserve">nvestigator, or </w:t>
      </w:r>
      <w:r w:rsidR="00EE226B">
        <w:t>D</w:t>
      </w:r>
      <w:r w:rsidRPr="00102F7F">
        <w:t>ecision</w:t>
      </w:r>
      <w:r w:rsidR="00EE226B">
        <w:t>-</w:t>
      </w:r>
      <w:r w:rsidRPr="00102F7F">
        <w:t xml:space="preserve">maker had a conflict of interest or bias for or against complainants or respondents generally or the individual </w:t>
      </w:r>
      <w:r w:rsidR="00EE226B">
        <w:t>C</w:t>
      </w:r>
      <w:r w:rsidRPr="00102F7F">
        <w:t xml:space="preserve">omplainant or </w:t>
      </w:r>
      <w:r w:rsidR="00EE226B">
        <w:t>R</w:t>
      </w:r>
      <w:r w:rsidRPr="00102F7F">
        <w:t>espondent that would change the outcome.</w:t>
      </w:r>
    </w:p>
    <w:p w14:paraId="77098199" w14:textId="1C646CE6" w:rsidR="00986C86" w:rsidRPr="00ED3CAB" w:rsidRDefault="00986C86" w:rsidP="005521DD">
      <w:pPr>
        <w:pStyle w:val="ListParagraph"/>
        <w:numPr>
          <w:ilvl w:val="0"/>
          <w:numId w:val="43"/>
        </w:numPr>
        <w:rPr>
          <w:highlight w:val="lightGray"/>
        </w:rPr>
      </w:pPr>
      <w:r w:rsidRPr="00ED3CAB">
        <w:rPr>
          <w:highlight w:val="lightGray"/>
        </w:rPr>
        <w:t>[The dismissal was erroneously granted or denied]</w:t>
      </w:r>
    </w:p>
    <w:p w14:paraId="293A1FB7" w14:textId="77777777" w:rsidR="000F24A8" w:rsidRDefault="000F24A8" w:rsidP="000F24A8"/>
    <w:p w14:paraId="750DDF6F" w14:textId="458FCC11" w:rsidR="00D26AD9" w:rsidRDefault="000F24A8" w:rsidP="00ED3CAB">
      <w:r>
        <w:t>Upon receipt of a dismissal appeal</w:t>
      </w:r>
      <w:r w:rsidR="00EB5750">
        <w:t xml:space="preserve"> in writing from one or more Parties</w:t>
      </w:r>
      <w:r>
        <w:t xml:space="preserve">, the </w:t>
      </w:r>
      <w:r w:rsidRPr="00ED3CAB">
        <w:rPr>
          <w:highlight w:val="lightGray"/>
        </w:rPr>
        <w:t>Administrator</w:t>
      </w:r>
      <w:r>
        <w:t xml:space="preserve"> will share the petition with the other party and provide </w:t>
      </w:r>
      <w:r w:rsidR="00337E9B" w:rsidRPr="00ED3CAB">
        <w:rPr>
          <w:highlight w:val="lightGray"/>
        </w:rPr>
        <w:t>three (</w:t>
      </w:r>
      <w:r w:rsidRPr="00ED3CAB">
        <w:rPr>
          <w:highlight w:val="lightGray"/>
        </w:rPr>
        <w:t>3</w:t>
      </w:r>
      <w:r w:rsidR="00337E9B">
        <w:rPr>
          <w:highlight w:val="lightGray"/>
        </w:rPr>
        <w:t>)</w:t>
      </w:r>
      <w:r w:rsidRPr="00ED3CAB">
        <w:rPr>
          <w:highlight w:val="lightGray"/>
        </w:rPr>
        <w:t xml:space="preserve"> business days</w:t>
      </w:r>
      <w:r>
        <w:t xml:space="preserve"> for other Part</w:t>
      </w:r>
      <w:r w:rsidR="00EE226B">
        <w:t>ies</w:t>
      </w:r>
      <w:r>
        <w:t xml:space="preserve"> to respond to the </w:t>
      </w:r>
      <w:r w:rsidR="00CE434B">
        <w:t>request</w:t>
      </w:r>
      <w:r>
        <w:t>.</w:t>
      </w:r>
      <w:r w:rsidR="00102F7F">
        <w:t xml:space="preserve"> </w:t>
      </w:r>
      <w:r w:rsidR="00A41689">
        <w:t xml:space="preserve">The </w:t>
      </w:r>
      <w:r w:rsidR="001C27A1">
        <w:t>appeal</w:t>
      </w:r>
      <w:r w:rsidR="00A41689">
        <w:t xml:space="preserve"> should specify at least one of the grounds above and provide any </w:t>
      </w:r>
      <w:r w:rsidR="00EE226B">
        <w:t>reasons</w:t>
      </w:r>
      <w:r w:rsidR="00A41689">
        <w:t xml:space="preserve"> or supporting evidence for why the ground is met. This </w:t>
      </w:r>
      <w:r w:rsidR="001C27A1">
        <w:t>appeal</w:t>
      </w:r>
      <w:r w:rsidR="00A41689">
        <w:t xml:space="preserve"> will be provided in writing to the other Parties, and the </w:t>
      </w:r>
      <w:r w:rsidR="00A41689" w:rsidRPr="00ED3CAB">
        <w:rPr>
          <w:highlight w:val="lightGray"/>
        </w:rPr>
        <w:t>Administrator</w:t>
      </w:r>
      <w:r w:rsidR="00A41689">
        <w:t xml:space="preserve">, who will be invited to respond in writing. </w:t>
      </w:r>
      <w:r w:rsidR="00102F7F">
        <w:t xml:space="preserve">At the conclusion of the response period, the </w:t>
      </w:r>
      <w:r w:rsidR="00102F7F" w:rsidRPr="00ED3CAB">
        <w:rPr>
          <w:highlight w:val="lightGray"/>
        </w:rPr>
        <w:t>Administrator</w:t>
      </w:r>
      <w:r w:rsidR="00102F7F">
        <w:t xml:space="preserve"> will forward the appeal, as well as any response provided by the other </w:t>
      </w:r>
      <w:r w:rsidR="00EE226B">
        <w:t xml:space="preserve">Parties </w:t>
      </w:r>
      <w:r w:rsidR="00102F7F">
        <w:t xml:space="preserve">to the </w:t>
      </w:r>
      <w:r w:rsidR="00D26AD9">
        <w:t>D</w:t>
      </w:r>
      <w:r>
        <w:t xml:space="preserve">ismissal </w:t>
      </w:r>
      <w:r w:rsidR="00D26AD9">
        <w:t>A</w:t>
      </w:r>
      <w:r>
        <w:t xml:space="preserve">ppeal </w:t>
      </w:r>
      <w:r w:rsidR="00D26AD9">
        <w:t>O</w:t>
      </w:r>
      <w:r>
        <w:t xml:space="preserve">fficer </w:t>
      </w:r>
      <w:r w:rsidR="00102F7F">
        <w:t>for consideration</w:t>
      </w:r>
      <w:r w:rsidR="00EB5750">
        <w:t>.</w:t>
      </w:r>
      <w:r w:rsidR="00D26AD9">
        <w:t xml:space="preserve"> </w:t>
      </w:r>
    </w:p>
    <w:p w14:paraId="3041A96D" w14:textId="77777777" w:rsidR="00D26AD9" w:rsidRPr="006313B0" w:rsidRDefault="00D26AD9" w:rsidP="00D26AD9"/>
    <w:p w14:paraId="620D7710" w14:textId="5EF96DD2" w:rsidR="00D26AD9" w:rsidRDefault="00D26AD9" w:rsidP="00ED3CAB">
      <w:r>
        <w:t>If the Request for Appeal does not provide information that meets the grounds in this Policy, the request will be denied by the Dismissal Appeal Officer, and the Parties</w:t>
      </w:r>
      <w:r w:rsidR="00EB5750">
        <w:t xml:space="preserve">, </w:t>
      </w:r>
      <w:r>
        <w:t>their Advisors</w:t>
      </w:r>
      <w:r w:rsidR="00EB5750">
        <w:t>,</w:t>
      </w:r>
      <w:r>
        <w:t xml:space="preserve"> </w:t>
      </w:r>
      <w:r w:rsidR="00EB5750">
        <w:t xml:space="preserve">and the </w:t>
      </w:r>
      <w:r w:rsidR="00EB5750" w:rsidRPr="00AF3A31">
        <w:rPr>
          <w:highlight w:val="lightGray"/>
        </w:rPr>
        <w:t>Administrator</w:t>
      </w:r>
      <w:r w:rsidR="00EB5750">
        <w:t xml:space="preserve"> </w:t>
      </w:r>
      <w:r>
        <w:t xml:space="preserve">will be notified in writing of the denial and the rationale. </w:t>
      </w:r>
    </w:p>
    <w:p w14:paraId="399D910E" w14:textId="77777777" w:rsidR="00D26AD9" w:rsidRDefault="00D26AD9" w:rsidP="00D26AD9">
      <w:pPr>
        <w:ind w:left="720"/>
      </w:pPr>
    </w:p>
    <w:p w14:paraId="6CD2A3AB" w14:textId="605B0BBF" w:rsidR="00D26AD9" w:rsidRDefault="00D26AD9" w:rsidP="00ED3CAB">
      <w:r>
        <w:t xml:space="preserve">If any of the </w:t>
      </w:r>
      <w:r w:rsidR="006B261F">
        <w:t xml:space="preserve">asserted </w:t>
      </w:r>
      <w:r>
        <w:t xml:space="preserve">grounds in the </w:t>
      </w:r>
      <w:r w:rsidR="001C27A1">
        <w:t>appeal</w:t>
      </w:r>
      <w:r>
        <w:t xml:space="preserve"> </w:t>
      </w:r>
      <w:r w:rsidR="006B261F">
        <w:t>satisfy</w:t>
      </w:r>
      <w:r>
        <w:t xml:space="preserve"> the grounds</w:t>
      </w:r>
      <w:r w:rsidR="006B261F">
        <w:t xml:space="preserve"> described</w:t>
      </w:r>
      <w:r>
        <w:t xml:space="preserve"> in this Policy, then the </w:t>
      </w:r>
      <w:r w:rsidR="00E903E6">
        <w:t xml:space="preserve">Dismissal Appeal Officer </w:t>
      </w:r>
      <w:r>
        <w:t xml:space="preserve">will notify all </w:t>
      </w:r>
      <w:r w:rsidR="0028631C">
        <w:t>Parties</w:t>
      </w:r>
      <w:r>
        <w:t xml:space="preserve"> and their Advisors, </w:t>
      </w:r>
      <w:r w:rsidR="00E903E6">
        <w:t xml:space="preserve">and </w:t>
      </w:r>
      <w:r>
        <w:t xml:space="preserve">the </w:t>
      </w:r>
      <w:r w:rsidRPr="00AF3A31">
        <w:rPr>
          <w:highlight w:val="lightGray"/>
        </w:rPr>
        <w:t>Administrator</w:t>
      </w:r>
      <w:r>
        <w:t xml:space="preserve">, </w:t>
      </w:r>
      <w:r w:rsidR="00E903E6">
        <w:t xml:space="preserve">of their decision </w:t>
      </w:r>
      <w:r w:rsidR="00EB5750">
        <w:t xml:space="preserve">and rationale </w:t>
      </w:r>
      <w:r w:rsidR="00E903E6">
        <w:t xml:space="preserve">in writing. The effect will be to reinstate the </w:t>
      </w:r>
      <w:r w:rsidR="00F240C0">
        <w:t>Complaint</w:t>
      </w:r>
      <w:r w:rsidR="00E903E6">
        <w:t xml:space="preserve">. </w:t>
      </w:r>
    </w:p>
    <w:p w14:paraId="76C8132A" w14:textId="77777777" w:rsidR="00D26AD9" w:rsidRDefault="00D26AD9" w:rsidP="00D26AD9"/>
    <w:p w14:paraId="74943C59" w14:textId="71F63063" w:rsidR="00D26AD9" w:rsidRDefault="00D26AD9" w:rsidP="00ED3CAB">
      <w:r>
        <w:t xml:space="preserve">In most cases, appeals are confined to a review of the written documentation or record of the original determination and pertinent documentation regarding the specific appeal grounds. </w:t>
      </w:r>
      <w:r w:rsidR="00A41689">
        <w:t xml:space="preserve">The Dismissal Appeal Officer has </w:t>
      </w:r>
      <w:r w:rsidR="00A41689" w:rsidRPr="00ED3CAB">
        <w:rPr>
          <w:highlight w:val="lightGray"/>
        </w:rPr>
        <w:t>seven (7) busines</w:t>
      </w:r>
      <w:r w:rsidR="00A41689" w:rsidRPr="00304D4A">
        <w:rPr>
          <w:highlight w:val="lightGray"/>
        </w:rPr>
        <w:t>s</w:t>
      </w:r>
      <w:r w:rsidR="00A41689" w:rsidRPr="00AF4053">
        <w:rPr>
          <w:highlight w:val="lightGray"/>
        </w:rPr>
        <w:t xml:space="preserve"> days</w:t>
      </w:r>
      <w:r w:rsidR="00A41689">
        <w:t xml:space="preserve"> to review and decide on the </w:t>
      </w:r>
      <w:r w:rsidR="006C6AB6">
        <w:t>appeal</w:t>
      </w:r>
      <w:r w:rsidR="00A41689">
        <w:t xml:space="preserve">, though extensions can be granted at the discretion of the </w:t>
      </w:r>
      <w:r w:rsidR="00A41689" w:rsidRPr="00ED3CAB">
        <w:rPr>
          <w:highlight w:val="lightGray"/>
        </w:rPr>
        <w:t>Administrator</w:t>
      </w:r>
      <w:r w:rsidR="00A41689">
        <w:t>, and the Parties will be notified of any extension.</w:t>
      </w:r>
    </w:p>
    <w:p w14:paraId="75DC198A" w14:textId="77777777" w:rsidR="00D26AD9" w:rsidRDefault="00D26AD9" w:rsidP="00D26AD9">
      <w:pPr>
        <w:ind w:left="720"/>
      </w:pPr>
    </w:p>
    <w:p w14:paraId="17CCC30A" w14:textId="5FBADBC6" w:rsidR="00D26AD9" w:rsidRDefault="00D26AD9" w:rsidP="00ED3CAB">
      <w:r>
        <w:t xml:space="preserve">Appeal decisions are deferential to the original determination, making changes only if there is a compelling justification to do so. </w:t>
      </w:r>
    </w:p>
    <w:p w14:paraId="25630C82" w14:textId="77777777" w:rsidR="00D26AD9" w:rsidRDefault="00D26AD9" w:rsidP="00D26AD9">
      <w:pPr>
        <w:ind w:left="720"/>
      </w:pPr>
    </w:p>
    <w:p w14:paraId="7FA054A2" w14:textId="3C41CB8F" w:rsidR="00D26AD9" w:rsidRDefault="00D26AD9" w:rsidP="00ED3CAB">
      <w:r>
        <w:t xml:space="preserve">The </w:t>
      </w:r>
      <w:r w:rsidR="00A41689">
        <w:t>Dismissal Appeal Officer</w:t>
      </w:r>
      <w:r>
        <w:t xml:space="preserve"> may consult with the </w:t>
      </w:r>
      <w:r w:rsidRPr="006313B0">
        <w:rPr>
          <w:highlight w:val="lightGray"/>
        </w:rPr>
        <w:t>Administrator</w:t>
      </w:r>
      <w:r>
        <w:t xml:space="preserve"> and/or legal counsel on questions of procedure or rationale for clarification, if needed. The </w:t>
      </w:r>
      <w:r w:rsidRPr="00ED3CAB">
        <w:rPr>
          <w:highlight w:val="lightGray"/>
        </w:rPr>
        <w:t>Administrator</w:t>
      </w:r>
      <w:r>
        <w:t xml:space="preserve"> will maintain documentation of all such </w:t>
      </w:r>
      <w:proofErr w:type="gramStart"/>
      <w:r>
        <w:t>consultation</w:t>
      </w:r>
      <w:proofErr w:type="gramEnd"/>
      <w:r>
        <w:t>.</w:t>
      </w:r>
    </w:p>
    <w:p w14:paraId="6CFBA2BD" w14:textId="77777777" w:rsidR="00C11AB1" w:rsidRDefault="00C11AB1" w:rsidP="00835DA8"/>
    <w:p w14:paraId="1DDDD4C7" w14:textId="15466117" w:rsidR="00C11AB1" w:rsidRPr="00877150" w:rsidRDefault="00C11AB1" w:rsidP="00ED3CAB">
      <w:pPr>
        <w:pStyle w:val="Heading1"/>
      </w:pPr>
      <w:bookmarkStart w:id="69" w:name="_Toc168477530"/>
      <w:r w:rsidRPr="00877150">
        <w:t>Emergency Removal</w:t>
      </w:r>
      <w:r w:rsidR="00C533D9" w:rsidRPr="00877150">
        <w:t>/Interim Suspension</w:t>
      </w:r>
      <w:r w:rsidRPr="00877150">
        <w:t xml:space="preserve"> </w:t>
      </w:r>
      <w:r w:rsidR="00C05E3E" w:rsidRPr="00877150">
        <w:t>of a Student</w:t>
      </w:r>
      <w:bookmarkEnd w:id="69"/>
    </w:p>
    <w:p w14:paraId="444F58BD" w14:textId="77777777" w:rsidR="00C11AB1" w:rsidRDefault="00C11AB1" w:rsidP="00C11AB1">
      <w:pPr>
        <w:ind w:left="720"/>
      </w:pPr>
    </w:p>
    <w:p w14:paraId="6B12560D" w14:textId="4B74D7E2" w:rsidR="00C05E3E" w:rsidRDefault="009C0406" w:rsidP="00ED3CAB">
      <w:pPr>
        <w:rPr>
          <w:sz w:val="23"/>
          <w:szCs w:val="23"/>
        </w:rPr>
      </w:pPr>
      <w:r>
        <w:t>T</w:t>
      </w:r>
      <w:r w:rsidR="00C05E3E">
        <w:t xml:space="preserve">he </w:t>
      </w:r>
      <w:r w:rsidR="00C05E3E" w:rsidRPr="00ED3CAB">
        <w:rPr>
          <w:highlight w:val="lightGray"/>
        </w:rPr>
        <w:t>Recipient</w:t>
      </w:r>
      <w:r w:rsidR="00C05E3E">
        <w:t xml:space="preserve"> </w:t>
      </w:r>
      <w:r>
        <w:t xml:space="preserve">may emergency remove a student accused of Sex Discrimination or Sex-based Harassment </w:t>
      </w:r>
      <w:r w:rsidR="00C05E3E">
        <w:t xml:space="preserve">upon receipt of </w:t>
      </w:r>
      <w:r w:rsidR="00BD18A8">
        <w:t>Notice</w:t>
      </w:r>
      <w:r w:rsidR="00924BBF">
        <w:t>/</w:t>
      </w:r>
      <w:r w:rsidR="00F240C0">
        <w:t>Knowledge</w:t>
      </w:r>
      <w:r w:rsidR="00C05E3E">
        <w:t xml:space="preserve">, a </w:t>
      </w:r>
      <w:r w:rsidR="00F240C0">
        <w:t>Complaint</w:t>
      </w:r>
      <w:r w:rsidR="00C05E3E">
        <w:t xml:space="preserve">, or at any time during the resolution process. Prior to an emergency removal, </w:t>
      </w:r>
      <w:r w:rsidR="00C05E3E" w:rsidRPr="00AF4053">
        <w:rPr>
          <w:highlight w:val="lightGray"/>
        </w:rPr>
        <w:t>Recipient</w:t>
      </w:r>
      <w:r w:rsidR="00C05E3E">
        <w:t xml:space="preserve"> will conduct an individualized risk assessment and may remove the student if </w:t>
      </w:r>
      <w:r w:rsidR="00C05E3E" w:rsidRPr="00E73804">
        <w:t xml:space="preserve">that assessment determines </w:t>
      </w:r>
      <w:r w:rsidR="00C05E3E" w:rsidRPr="00ED3CAB">
        <w:t xml:space="preserve">that an imminent and serious threat to the health or safety of a </w:t>
      </w:r>
      <w:r w:rsidR="00924BBF" w:rsidRPr="00ED3CAB">
        <w:t>C</w:t>
      </w:r>
      <w:r w:rsidR="00C05E3E" w:rsidRPr="00ED3CAB">
        <w:t>omplainant or any students, employees, or other persons arising from the allegations of sex discrimination justifies such action.</w:t>
      </w:r>
      <w:r w:rsidR="00C05E3E">
        <w:rPr>
          <w:sz w:val="23"/>
          <w:szCs w:val="23"/>
        </w:rPr>
        <w:t xml:space="preserve"> </w:t>
      </w:r>
      <w:r w:rsidR="00C533D9">
        <w:rPr>
          <w:sz w:val="23"/>
          <w:szCs w:val="23"/>
        </w:rPr>
        <w:t xml:space="preserve">Students accused of other forms of discrimination (not sex) are subject to interim suspension, which can be imposed for safety reasons. </w:t>
      </w:r>
    </w:p>
    <w:p w14:paraId="0ACCFA10" w14:textId="77777777" w:rsidR="00C05E3E" w:rsidRDefault="00C05E3E" w:rsidP="00ED3CAB"/>
    <w:p w14:paraId="7DD429D2" w14:textId="59FA6AF7" w:rsidR="00C05E3E" w:rsidRDefault="00C05E3E" w:rsidP="00ED3CAB">
      <w:r>
        <w:t>When an emergency removal</w:t>
      </w:r>
      <w:r w:rsidR="00C533D9">
        <w:t xml:space="preserve"> or interim suspension</w:t>
      </w:r>
      <w:r>
        <w:t xml:space="preserve"> is imposed, </w:t>
      </w:r>
      <w:r w:rsidR="00924BBF">
        <w:t xml:space="preserve">wholly or partially, </w:t>
      </w:r>
      <w:r>
        <w:t>the affected student will be noti</w:t>
      </w:r>
      <w:r w:rsidR="00BD18A8">
        <w:t>fied</w:t>
      </w:r>
      <w:r>
        <w:t xml:space="preserve"> of the action</w:t>
      </w:r>
      <w:r w:rsidR="00835DA8">
        <w:t>, which will includ</w:t>
      </w:r>
      <w:r w:rsidR="00924BBF">
        <w:t>e</w:t>
      </w:r>
      <w:r w:rsidR="00835DA8">
        <w:t xml:space="preserve"> a written rationale, </w:t>
      </w:r>
      <w:r>
        <w:t>and the option to challenge the emergency removal</w:t>
      </w:r>
      <w:r w:rsidR="00C533D9">
        <w:t xml:space="preserve"> or interim suspension</w:t>
      </w:r>
      <w:r w:rsidR="00DA1811">
        <w:t xml:space="preserve"> within </w:t>
      </w:r>
      <w:r w:rsidR="00924BBF" w:rsidRPr="00DF2C21">
        <w:rPr>
          <w:highlight w:val="lightGray"/>
        </w:rPr>
        <w:t>two (2) business days</w:t>
      </w:r>
      <w:r w:rsidR="00DA1811">
        <w:t xml:space="preserve"> </w:t>
      </w:r>
      <w:r w:rsidR="00E73804">
        <w:t xml:space="preserve">of the </w:t>
      </w:r>
      <w:r w:rsidR="00DA1811">
        <w:t>notification</w:t>
      </w:r>
      <w:r>
        <w:t xml:space="preserve">. </w:t>
      </w:r>
      <w:r w:rsidR="00AA5D4E">
        <w:t xml:space="preserve">Upon receipt of a challenge, </w:t>
      </w:r>
      <w:r>
        <w:t xml:space="preserve">the </w:t>
      </w:r>
      <w:r w:rsidRPr="00FA5BF7">
        <w:rPr>
          <w:highlight w:val="lightGray"/>
        </w:rPr>
        <w:t>Administrator</w:t>
      </w:r>
      <w:r>
        <w:t xml:space="preserve"> </w:t>
      </w:r>
      <w:r w:rsidR="00DA1811">
        <w:t xml:space="preserve">will meet with the student </w:t>
      </w:r>
      <w:r w:rsidR="00924BBF">
        <w:t xml:space="preserve">(and their Advisor, if desired) </w:t>
      </w:r>
      <w:r>
        <w:t>as soon as reasonably possible thereafter</w:t>
      </w:r>
      <w:r w:rsidR="00DA1811">
        <w:t xml:space="preserve"> </w:t>
      </w:r>
      <w:r>
        <w:t xml:space="preserve">to </w:t>
      </w:r>
      <w:r w:rsidR="00924BBF">
        <w:t xml:space="preserve">allow them to </w:t>
      </w:r>
      <w:r>
        <w:t>show cause why the removal/action should not be implemented or should be modified.</w:t>
      </w:r>
      <w:r w:rsidR="00BB6B25">
        <w:t xml:space="preserve"> </w:t>
      </w:r>
    </w:p>
    <w:p w14:paraId="13584B49" w14:textId="77777777" w:rsidR="00FA5BF7" w:rsidRDefault="00FA5BF7" w:rsidP="003A681B"/>
    <w:p w14:paraId="2CF5ACB4" w14:textId="77EC3B33" w:rsidR="00DA1811" w:rsidRDefault="00C11AB1" w:rsidP="00ED3CAB">
      <w:r>
        <w:t>This meeting is not a hearing on the merits of the allegation(s), but rather is an administrative process intended to determine solely whether the emergency removal</w:t>
      </w:r>
      <w:r w:rsidR="00C533D9">
        <w:t xml:space="preserve"> or interim suspension</w:t>
      </w:r>
      <w:r w:rsidR="00DA1811">
        <w:t xml:space="preserve"> </w:t>
      </w:r>
      <w:r>
        <w:t>is appropriate</w:t>
      </w:r>
      <w:r w:rsidR="00924BBF">
        <w:t>, should be modified, or lifted</w:t>
      </w:r>
      <w:r>
        <w:t xml:space="preserve">. When this meeting is not requested </w:t>
      </w:r>
      <w:r w:rsidR="00DA1811">
        <w:t xml:space="preserve">within </w:t>
      </w:r>
      <w:r w:rsidR="00924BBF" w:rsidRPr="006E024D">
        <w:rPr>
          <w:highlight w:val="lightGray"/>
        </w:rPr>
        <w:t>two (2) business days</w:t>
      </w:r>
      <w:r w:rsidR="00DA1811">
        <w:t xml:space="preserve">, </w:t>
      </w:r>
      <w:r>
        <w:t xml:space="preserve">objections to the emergency removal </w:t>
      </w:r>
      <w:r w:rsidR="00C533D9">
        <w:t xml:space="preserve">or interim suspension </w:t>
      </w:r>
      <w:r>
        <w:t>will be deemed waived</w:t>
      </w:r>
      <w:r w:rsidR="00924BBF">
        <w:t xml:space="preserve">. A student can later request a meeting to show why they are no longer an imminent and serious </w:t>
      </w:r>
      <w:r w:rsidR="00924BBF" w:rsidRPr="00924BBF">
        <w:t>threat</w:t>
      </w:r>
      <w:r w:rsidR="00924BBF">
        <w:t xml:space="preserve"> because conditions related to imminence or seriousness have changed</w:t>
      </w:r>
      <w:r w:rsidRPr="00924BBF">
        <w:t xml:space="preserve">. </w:t>
      </w:r>
      <w:r w:rsidRPr="00ED3CAB">
        <w:t xml:space="preserve">A Complainant and their Advisor may be permitted to participate in this meeting if the </w:t>
      </w:r>
      <w:r w:rsidR="00DA1811" w:rsidRPr="00AF4053">
        <w:rPr>
          <w:highlight w:val="lightGray"/>
        </w:rPr>
        <w:t>Administrator</w:t>
      </w:r>
      <w:r w:rsidR="00DA1811" w:rsidRPr="00ED3CAB">
        <w:t xml:space="preserve"> </w:t>
      </w:r>
      <w:r w:rsidRPr="00ED3CAB">
        <w:t xml:space="preserve">determines it </w:t>
      </w:r>
      <w:r w:rsidR="00924BBF">
        <w:t xml:space="preserve">is </w:t>
      </w:r>
      <w:r w:rsidRPr="00ED3CAB">
        <w:t>equitable to do so.</w:t>
      </w:r>
      <w:r>
        <w:t xml:space="preserve"> </w:t>
      </w:r>
    </w:p>
    <w:p w14:paraId="75D2E1A3" w14:textId="77777777" w:rsidR="00DA1811" w:rsidRDefault="00DA1811" w:rsidP="00ED3CAB"/>
    <w:p w14:paraId="41D68429" w14:textId="432B06CA" w:rsidR="00DA1811" w:rsidRDefault="00DA1811" w:rsidP="00ED3CAB">
      <w:r w:rsidRPr="001C7765">
        <w:t xml:space="preserve">The </w:t>
      </w:r>
      <w:r>
        <w:t>Respondent</w:t>
      </w:r>
      <w:r w:rsidRPr="001C7765">
        <w:t xml:space="preserve"> may provide information</w:t>
      </w:r>
      <w:r w:rsidR="0068129F">
        <w:t>,</w:t>
      </w:r>
      <w:r w:rsidRPr="001C7765">
        <w:t xml:space="preserve"> including </w:t>
      </w:r>
      <w:r w:rsidR="00924BBF">
        <w:t xml:space="preserve">expert </w:t>
      </w:r>
      <w:r w:rsidRPr="001C7765">
        <w:t xml:space="preserve">reports, witness statements, communications, or other documentation </w:t>
      </w:r>
      <w:r>
        <w:t xml:space="preserve">for consideration prior to or during </w:t>
      </w:r>
      <w:r w:rsidRPr="001C7765">
        <w:t xml:space="preserve">the meeting. </w:t>
      </w:r>
      <w:r w:rsidRPr="00ED3CAB">
        <w:t xml:space="preserve">When applicable, a Complainant may provide information to the </w:t>
      </w:r>
      <w:r w:rsidRPr="00ED3CAB">
        <w:rPr>
          <w:highlight w:val="lightGray"/>
        </w:rPr>
        <w:t>Administrator</w:t>
      </w:r>
      <w:r w:rsidRPr="00ED3CAB">
        <w:t xml:space="preserve"> for review</w:t>
      </w:r>
      <w:r w:rsidR="00924BBF" w:rsidRPr="00ED3CAB">
        <w:t>.</w:t>
      </w:r>
      <w:r>
        <w:t xml:space="preserve"> </w:t>
      </w:r>
    </w:p>
    <w:p w14:paraId="5D98F727" w14:textId="77777777" w:rsidR="00DA1811" w:rsidRPr="00C11AB1" w:rsidRDefault="00DA1811" w:rsidP="00ED3CAB"/>
    <w:p w14:paraId="083F44AD" w14:textId="64B0450E" w:rsidR="003A681B" w:rsidRDefault="00DA1811" w:rsidP="00ED3CAB">
      <w:r>
        <w:t xml:space="preserve">An emergency removal </w:t>
      </w:r>
      <w:r w:rsidR="00C533D9">
        <w:t xml:space="preserve">or interim suspension </w:t>
      </w:r>
      <w:r w:rsidRPr="001C7765">
        <w:t xml:space="preserve">may be affirmed, modified, or lifted </w:t>
      </w:r>
      <w:proofErr w:type="gramStart"/>
      <w:r w:rsidRPr="001C7765">
        <w:t>as a result of</w:t>
      </w:r>
      <w:proofErr w:type="gramEnd"/>
      <w:r w:rsidRPr="001C7765">
        <w:t xml:space="preserve"> a requested review or as new information becomes available. The </w:t>
      </w:r>
      <w:r w:rsidRPr="009727CB">
        <w:rPr>
          <w:highlight w:val="lightGray"/>
        </w:rPr>
        <w:t>Administrator</w:t>
      </w:r>
      <w:r>
        <w:t xml:space="preserve"> </w:t>
      </w:r>
      <w:r w:rsidRPr="001C7765">
        <w:t>will communicate the final decision in writing</w:t>
      </w:r>
      <w:r w:rsidR="00835DA8">
        <w:t xml:space="preserve">, typically within </w:t>
      </w:r>
      <w:r w:rsidR="00924BBF" w:rsidRPr="00ED3CAB">
        <w:rPr>
          <w:highlight w:val="lightGray"/>
          <w:shd w:val="clear" w:color="auto" w:fill="595959" w:themeFill="text1" w:themeFillTint="A6"/>
        </w:rPr>
        <w:t>three (3)</w:t>
      </w:r>
      <w:r w:rsidR="00835DA8" w:rsidRPr="00ED3CAB">
        <w:rPr>
          <w:highlight w:val="lightGray"/>
          <w:shd w:val="clear" w:color="auto" w:fill="595959" w:themeFill="text1" w:themeFillTint="A6"/>
        </w:rPr>
        <w:t xml:space="preserve"> business days</w:t>
      </w:r>
      <w:r w:rsidR="00835DA8">
        <w:t xml:space="preserve"> </w:t>
      </w:r>
      <w:r w:rsidRPr="001C7765">
        <w:t>of the review meeting.</w:t>
      </w:r>
      <w:r w:rsidR="006B261F">
        <w:t xml:space="preserve"> </w:t>
      </w:r>
    </w:p>
    <w:p w14:paraId="11008E27" w14:textId="4D554889" w:rsidR="004E2B12" w:rsidRDefault="004E2B12" w:rsidP="00ED3CAB"/>
    <w:p w14:paraId="1E56963E" w14:textId="2D2FEBA9" w:rsidR="00363DB9" w:rsidRDefault="001C27A1" w:rsidP="00021C70">
      <w:pPr>
        <w:pStyle w:val="Heading1"/>
      </w:pPr>
      <w:bookmarkStart w:id="70" w:name="_Toc168477531"/>
      <w:bookmarkStart w:id="71" w:name="_Toc82511651"/>
      <w:bookmarkStart w:id="72" w:name="_Toc102393973"/>
      <w:r>
        <w:lastRenderedPageBreak/>
        <w:t xml:space="preserve">Placing </w:t>
      </w:r>
      <w:r w:rsidR="00363DB9">
        <w:t>an Employee</w:t>
      </w:r>
      <w:r>
        <w:t xml:space="preserve"> on Leave</w:t>
      </w:r>
      <w:bookmarkEnd w:id="70"/>
    </w:p>
    <w:p w14:paraId="7145E616" w14:textId="77777777" w:rsidR="00363DB9" w:rsidRDefault="00363DB9" w:rsidP="00363DB9"/>
    <w:p w14:paraId="41AF4C0C" w14:textId="5BC810D1" w:rsidR="00363DB9" w:rsidRDefault="00363DB9" w:rsidP="00F766D9">
      <w:r>
        <w:t xml:space="preserve">When the Respondent is an employee, or a student employee accused of misconduct in the course of their employment, existing provisions </w:t>
      </w:r>
      <w:r w:rsidR="00E73804">
        <w:rPr>
          <w:highlight w:val="lightGray"/>
        </w:rPr>
        <w:t>&lt;&lt;</w:t>
      </w:r>
      <w:r w:rsidRPr="000334A0">
        <w:rPr>
          <w:highlight w:val="lightGray"/>
        </w:rPr>
        <w:t>link</w:t>
      </w:r>
      <w:r w:rsidR="00E73804" w:rsidRPr="00AF4053">
        <w:rPr>
          <w:highlight w:val="lightGray"/>
        </w:rPr>
        <w:t>&gt;&gt;</w:t>
      </w:r>
      <w:r>
        <w:t xml:space="preserve"> for interim action are typically applicable instead of the above emergency removal process.</w:t>
      </w:r>
      <w:r w:rsidR="00686ECD">
        <w:t xml:space="preserve"> </w:t>
      </w:r>
      <w:r w:rsidR="00686ECD" w:rsidRPr="00ED3CAB">
        <w:rPr>
          <w:highlight w:val="lightGray"/>
        </w:rPr>
        <w:t>[Procedures for unionized employees can be found here</w:t>
      </w:r>
      <w:r w:rsidR="000E4E94">
        <w:rPr>
          <w:highlight w:val="lightGray"/>
        </w:rPr>
        <w:t xml:space="preserve"> &lt;&lt;</w:t>
      </w:r>
      <w:r w:rsidR="000E4E94" w:rsidRPr="000334A0">
        <w:rPr>
          <w:highlight w:val="lightGray"/>
        </w:rPr>
        <w:t>link</w:t>
      </w:r>
      <w:r w:rsidR="000E4E94" w:rsidRPr="00422B19">
        <w:rPr>
          <w:highlight w:val="lightGray"/>
        </w:rPr>
        <w:t>&gt;&gt;</w:t>
      </w:r>
      <w:r w:rsidR="00686ECD" w:rsidRPr="00ED3CAB">
        <w:rPr>
          <w:highlight w:val="lightGray"/>
        </w:rPr>
        <w:t>].</w:t>
      </w:r>
      <w:r w:rsidR="00F766D9">
        <w:br/>
      </w:r>
    </w:p>
    <w:p w14:paraId="5A9A4CA8" w14:textId="0710CC1C" w:rsidR="008B67BF" w:rsidRDefault="008B67BF" w:rsidP="00021C70">
      <w:pPr>
        <w:pStyle w:val="Heading1"/>
      </w:pPr>
      <w:bookmarkStart w:id="73" w:name="_Toc168477532"/>
      <w:r>
        <w:t>Counter</w:t>
      </w:r>
      <w:r w:rsidR="003A681B">
        <w:t>-</w:t>
      </w:r>
      <w:r w:rsidR="00F240C0">
        <w:t>Complaint</w:t>
      </w:r>
      <w:r w:rsidR="003A681B">
        <w:t>s</w:t>
      </w:r>
      <w:bookmarkEnd w:id="71"/>
      <w:bookmarkEnd w:id="72"/>
      <w:bookmarkEnd w:id="73"/>
    </w:p>
    <w:p w14:paraId="6954A41D" w14:textId="6F28DDC0" w:rsidR="003D4F66" w:rsidRDefault="003D4F66" w:rsidP="003D4F66"/>
    <w:p w14:paraId="6DB7A13E" w14:textId="4D8678D6" w:rsidR="003D4F66" w:rsidRDefault="003D4F66" w:rsidP="003D4F66">
      <w:r>
        <w:t xml:space="preserve">The </w:t>
      </w:r>
      <w:r w:rsidRPr="003D4F66">
        <w:rPr>
          <w:highlight w:val="lightGray"/>
        </w:rPr>
        <w:t>Recipient</w:t>
      </w:r>
      <w:r>
        <w:t xml:space="preserve"> is obligated to ensure that the </w:t>
      </w:r>
      <w:r w:rsidR="00D0011B">
        <w:t xml:space="preserve">resolution </w:t>
      </w:r>
      <w:r>
        <w:t>process is not abused for retaliatory purposes</w:t>
      </w:r>
      <w:r w:rsidR="00D0011B">
        <w:t>. Although t</w:t>
      </w:r>
      <w:r>
        <w:t xml:space="preserve">he </w:t>
      </w:r>
      <w:r w:rsidRPr="003D4F66">
        <w:rPr>
          <w:highlight w:val="lightGray"/>
        </w:rPr>
        <w:t>Recipient</w:t>
      </w:r>
      <w:r>
        <w:t xml:space="preserve"> permits the filing of </w:t>
      </w:r>
      <w:r w:rsidR="00F240C0">
        <w:t>C</w:t>
      </w:r>
      <w:r>
        <w:t>ounter</w:t>
      </w:r>
      <w:r w:rsidR="00686ECD">
        <w:t>-</w:t>
      </w:r>
      <w:r w:rsidR="00F240C0">
        <w:t>C</w:t>
      </w:r>
      <w:r w:rsidR="00686ECD">
        <w:t>omplaints</w:t>
      </w:r>
      <w:r w:rsidR="00D0011B">
        <w:t xml:space="preserve">, the </w:t>
      </w:r>
      <w:r w:rsidR="00D0011B" w:rsidRPr="00D0011B">
        <w:rPr>
          <w:highlight w:val="lightGray"/>
        </w:rPr>
        <w:t>Administrator</w:t>
      </w:r>
      <w:r w:rsidR="00D0011B">
        <w:t xml:space="preserve"> will</w:t>
      </w:r>
      <w:r>
        <w:t xml:space="preserve"> use an initial </w:t>
      </w:r>
      <w:r w:rsidR="00686ECD">
        <w:t>evaluation</w:t>
      </w:r>
      <w:r>
        <w:t xml:space="preserve">, described above, to assess whether the allegations in the </w:t>
      </w:r>
      <w:r w:rsidR="00185B34">
        <w:t>C</w:t>
      </w:r>
      <w:r>
        <w:t>ounter</w:t>
      </w:r>
      <w:r w:rsidR="00686ECD">
        <w:t>-</w:t>
      </w:r>
      <w:r w:rsidR="00F240C0">
        <w:t>C</w:t>
      </w:r>
      <w:r w:rsidR="00686ECD">
        <w:t>omplaint</w:t>
      </w:r>
      <w:r>
        <w:t xml:space="preserve"> are made in good faith. </w:t>
      </w:r>
      <w:r w:rsidR="00D0011B">
        <w:t xml:space="preserve">When </w:t>
      </w:r>
      <w:r w:rsidR="00F240C0">
        <w:t>C</w:t>
      </w:r>
      <w:r w:rsidR="0088431C">
        <w:t>ounter-</w:t>
      </w:r>
      <w:r w:rsidR="00F240C0">
        <w:t>C</w:t>
      </w:r>
      <w:r w:rsidR="0088431C">
        <w:t xml:space="preserve">omplaints </w:t>
      </w:r>
      <w:r w:rsidR="00D0011B">
        <w:t xml:space="preserve">are not made in good faith, </w:t>
      </w:r>
      <w:r w:rsidR="00EB19E3">
        <w:t>they will not be permitted. T</w:t>
      </w:r>
      <w:r w:rsidR="00D0011B">
        <w:t xml:space="preserve">hey will be considered </w:t>
      </w:r>
      <w:r w:rsidR="0088431C">
        <w:t xml:space="preserve">potentially </w:t>
      </w:r>
      <w:r w:rsidR="00D0011B">
        <w:t xml:space="preserve">retaliatory and may constitute a violation of </w:t>
      </w:r>
      <w:r w:rsidR="0088431C">
        <w:t>the P</w:t>
      </w:r>
      <w:r w:rsidR="00D0011B">
        <w:t>olicy.</w:t>
      </w:r>
    </w:p>
    <w:p w14:paraId="38B1C567" w14:textId="77777777" w:rsidR="003D4F66" w:rsidRDefault="003D4F66" w:rsidP="003D4F66"/>
    <w:p w14:paraId="16EEE041" w14:textId="41531806" w:rsidR="003D4F66" w:rsidRDefault="00EB19E3" w:rsidP="003D4F66">
      <w:r>
        <w:t>Counter-</w:t>
      </w:r>
      <w:r w:rsidR="00F240C0">
        <w:t>C</w:t>
      </w:r>
      <w:r>
        <w:t xml:space="preserve">omplaints </w:t>
      </w:r>
      <w:r w:rsidR="003D4F66">
        <w:t xml:space="preserve">determined to have been reported in good faith will be processed using the </w:t>
      </w:r>
      <w:r w:rsidR="00434BCC">
        <w:t>Resolution Process</w:t>
      </w:r>
      <w:r w:rsidR="003D4F66">
        <w:t xml:space="preserve"> below. </w:t>
      </w:r>
      <w:r w:rsidR="00D0011B">
        <w:t xml:space="preserve">At the </w:t>
      </w:r>
      <w:r w:rsidR="00D0011B" w:rsidRPr="00D0011B">
        <w:rPr>
          <w:highlight w:val="lightGray"/>
        </w:rPr>
        <w:t>Administrator</w:t>
      </w:r>
      <w:r w:rsidR="00D0011B">
        <w:t>’s discretion, i</w:t>
      </w:r>
      <w:r w:rsidR="003D4F66">
        <w:t xml:space="preserve">nvestigation of such claims may take place </w:t>
      </w:r>
      <w:r w:rsidR="00D0011B">
        <w:t xml:space="preserve">concurrently or </w:t>
      </w:r>
      <w:r w:rsidR="003D4F66">
        <w:t xml:space="preserve">after resolution of the underlying initial </w:t>
      </w:r>
      <w:r w:rsidR="00F240C0">
        <w:t>Complaint</w:t>
      </w:r>
      <w:r w:rsidR="00D0011B">
        <w:t>.</w:t>
      </w:r>
      <w:r w:rsidR="003D4F66">
        <w:t xml:space="preserve"> </w:t>
      </w:r>
    </w:p>
    <w:p w14:paraId="5E6387C2" w14:textId="77777777" w:rsidR="003D4F66" w:rsidRPr="003D4F66" w:rsidRDefault="003D4F66" w:rsidP="003D4F66"/>
    <w:p w14:paraId="4C9EC3DD" w14:textId="6D7DE56F" w:rsidR="008B67BF" w:rsidRDefault="002D22F0" w:rsidP="00021C70">
      <w:pPr>
        <w:pStyle w:val="Heading1"/>
      </w:pPr>
      <w:bookmarkStart w:id="74" w:name="_Toc168477533"/>
      <w:bookmarkStart w:id="75" w:name="_Toc82511652"/>
      <w:bookmarkStart w:id="76" w:name="_Toc102393974"/>
      <w:r>
        <w:t>Advisors in the Resolution Process</w:t>
      </w:r>
      <w:bookmarkEnd w:id="74"/>
      <w:r>
        <w:t xml:space="preserve"> </w:t>
      </w:r>
      <w:bookmarkEnd w:id="75"/>
      <w:bookmarkEnd w:id="76"/>
    </w:p>
    <w:p w14:paraId="24A88DF4" w14:textId="715A8B80" w:rsidR="003D4F66" w:rsidRDefault="003D4F66" w:rsidP="003D4F66"/>
    <w:p w14:paraId="4D344133" w14:textId="77777777" w:rsidR="00314450" w:rsidRDefault="00314450" w:rsidP="00314450">
      <w:pPr>
        <w:pStyle w:val="Heading2"/>
      </w:pPr>
      <w:bookmarkStart w:id="77" w:name="_Toc168477534"/>
      <w:r>
        <w:t>Who Can Serve as an Advisor?</w:t>
      </w:r>
      <w:bookmarkEnd w:id="77"/>
    </w:p>
    <w:p w14:paraId="080F1ABF" w14:textId="77777777" w:rsidR="00314450" w:rsidRDefault="00314450" w:rsidP="003D4F66"/>
    <w:p w14:paraId="7E6902B7" w14:textId="16CEB787" w:rsidR="003D4F66" w:rsidRDefault="003D4F66" w:rsidP="00F539C8">
      <w:pPr>
        <w:ind w:left="720"/>
      </w:pPr>
      <w:r>
        <w:t xml:space="preserve">The </w:t>
      </w:r>
      <w:r w:rsidR="0028631C">
        <w:t>P</w:t>
      </w:r>
      <w:r>
        <w:t xml:space="preserve">arties may each have an Advisor </w:t>
      </w:r>
      <w:r w:rsidR="002D22F0">
        <w:t xml:space="preserve">(friend, mentor, family member, attorney, or any other individual a party chooses) </w:t>
      </w:r>
      <w:r>
        <w:t xml:space="preserve">present with them for all meetings, interviews, </w:t>
      </w:r>
      <w:r w:rsidRPr="00ED3CAB">
        <w:rPr>
          <w:highlight w:val="lightGray"/>
        </w:rPr>
        <w:t>and hearings</w:t>
      </w:r>
      <w:r>
        <w:t xml:space="preserve"> within the Resolution Process, </w:t>
      </w:r>
      <w:r w:rsidR="003E515C">
        <w:t>including intake</w:t>
      </w:r>
      <w:r w:rsidR="00BA3599">
        <w:t>.</w:t>
      </w:r>
      <w:r>
        <w:t xml:space="preserve"> The </w:t>
      </w:r>
      <w:r w:rsidR="00CC2E79">
        <w:t>P</w:t>
      </w:r>
      <w:r>
        <w:t>arties may select who</w:t>
      </w:r>
      <w:r w:rsidR="003E515C">
        <w:t>m</w:t>
      </w:r>
      <w:r>
        <w:t xml:space="preserve">ever they wish to serve as their Advisor </w:t>
      </w:r>
      <w:proofErr w:type="gramStart"/>
      <w:r>
        <w:t>as long as</w:t>
      </w:r>
      <w:proofErr w:type="gramEnd"/>
      <w:r>
        <w:t xml:space="preserve"> the Advisor is eligible and available.</w:t>
      </w:r>
      <w:r w:rsidR="006C37E8">
        <w:rPr>
          <w:rStyle w:val="FootnoteReference"/>
        </w:rPr>
        <w:footnoteReference w:id="27"/>
      </w:r>
      <w:r>
        <w:t xml:space="preserve"> </w:t>
      </w:r>
    </w:p>
    <w:p w14:paraId="1D4C02C4" w14:textId="2BC3A2AB" w:rsidR="00314450" w:rsidRDefault="00314450" w:rsidP="00F539C8">
      <w:pPr>
        <w:ind w:left="720"/>
      </w:pPr>
    </w:p>
    <w:p w14:paraId="52E99E91" w14:textId="24DAEBA7" w:rsidR="00314450" w:rsidRDefault="00314450" w:rsidP="00F539C8">
      <w:pPr>
        <w:ind w:left="720"/>
      </w:pPr>
      <w:r>
        <w:t xml:space="preserve">The </w:t>
      </w:r>
      <w:r w:rsidRPr="005E6B05">
        <w:rPr>
          <w:highlight w:val="lightGray"/>
        </w:rPr>
        <w:t>Administrator</w:t>
      </w:r>
      <w:r>
        <w:t xml:space="preserve"> will offer to assign a trained Advisor to any party if the party chooses. If the </w:t>
      </w:r>
      <w:r w:rsidR="0028631C">
        <w:t>P</w:t>
      </w:r>
      <w:r>
        <w:t xml:space="preserve">arties choose an Advisor from the pool available from the </w:t>
      </w:r>
      <w:r w:rsidRPr="003D4F66">
        <w:rPr>
          <w:highlight w:val="lightGray"/>
        </w:rPr>
        <w:t>Recipient</w:t>
      </w:r>
      <w:r>
        <w:t xml:space="preserve">, the </w:t>
      </w:r>
      <w:r w:rsidR="00CC692C" w:rsidRPr="00434BCC">
        <w:rPr>
          <w:highlight w:val="lightGray"/>
        </w:rPr>
        <w:t>Recipient</w:t>
      </w:r>
      <w:r w:rsidR="00CC692C">
        <w:t xml:space="preserve"> will have trained the </w:t>
      </w:r>
      <w:r>
        <w:t xml:space="preserve">Advisor </w:t>
      </w:r>
      <w:r w:rsidR="00CC692C">
        <w:t xml:space="preserve">and </w:t>
      </w:r>
      <w:r>
        <w:t>familiar</w:t>
      </w:r>
      <w:r w:rsidR="00CC692C">
        <w:t>ized them</w:t>
      </w:r>
      <w:r>
        <w:t xml:space="preserve"> with the </w:t>
      </w:r>
      <w:r w:rsidRPr="003D4F66">
        <w:rPr>
          <w:highlight w:val="lightGray"/>
        </w:rPr>
        <w:t>Recipient</w:t>
      </w:r>
      <w:r>
        <w:t xml:space="preserve">’s Resolution Process. </w:t>
      </w:r>
    </w:p>
    <w:p w14:paraId="0CEC74F1" w14:textId="77777777" w:rsidR="00314450" w:rsidRDefault="00314450" w:rsidP="00314450">
      <w:pPr>
        <w:ind w:left="720"/>
      </w:pPr>
    </w:p>
    <w:p w14:paraId="568565FE" w14:textId="664EEA62" w:rsidR="00314450" w:rsidRDefault="00314450">
      <w:pPr>
        <w:ind w:left="720"/>
      </w:pPr>
      <w:r>
        <w:t xml:space="preserve">The </w:t>
      </w:r>
      <w:r w:rsidRPr="003D4F66">
        <w:rPr>
          <w:highlight w:val="lightGray"/>
        </w:rPr>
        <w:t>Recipien</w:t>
      </w:r>
      <w:r w:rsidRPr="00D558C4">
        <w:rPr>
          <w:highlight w:val="lightGray"/>
        </w:rPr>
        <w:t>t</w:t>
      </w:r>
      <w:r>
        <w:t xml:space="preserve"> cannot guarantee equal Advisory rights, meaning that if one party selects an Advisor who is an attorney, but the other party does not, or cannot afford an attorney, the </w:t>
      </w:r>
      <w:r w:rsidRPr="003D4F66">
        <w:rPr>
          <w:highlight w:val="lightGray"/>
        </w:rPr>
        <w:t>Recipient</w:t>
      </w:r>
      <w:r>
        <w:t xml:space="preserve"> is not obligated to provide an attorney to advise that party.</w:t>
      </w:r>
    </w:p>
    <w:p w14:paraId="44F7A102" w14:textId="77777777" w:rsidR="00CF4CBE" w:rsidRDefault="00CF4CBE">
      <w:pPr>
        <w:ind w:left="720"/>
      </w:pPr>
    </w:p>
    <w:p w14:paraId="6C785162" w14:textId="5C2937FF" w:rsidR="00CF4CBE" w:rsidRDefault="00CF4CBE" w:rsidP="00F539C8">
      <w:pPr>
        <w:ind w:left="720"/>
      </w:pPr>
      <w:r>
        <w:lastRenderedPageBreak/>
        <w:t xml:space="preserve">A party may elect to change Advisors during the process and is not obligated to use the same Advisor throughout. Parties are expected to provide </w:t>
      </w:r>
      <w:r w:rsidR="00CC692C">
        <w:t xml:space="preserve">the </w:t>
      </w:r>
      <w:r w:rsidR="00CC692C" w:rsidRPr="00215345">
        <w:rPr>
          <w:highlight w:val="lightGray"/>
        </w:rPr>
        <w:t>Administrator</w:t>
      </w:r>
      <w:r w:rsidR="00CC692C">
        <w:t xml:space="preserve"> with </w:t>
      </w:r>
      <w:r>
        <w:t>timely noti</w:t>
      </w:r>
      <w:r w:rsidR="00BD18A8">
        <w:t>fication</w:t>
      </w:r>
      <w:r>
        <w:t xml:space="preserve"> </w:t>
      </w:r>
      <w:r w:rsidR="00CC692C">
        <w:t xml:space="preserve">if </w:t>
      </w:r>
      <w:r>
        <w:t xml:space="preserve">they change Advisors. If a party changes Advisors, </w:t>
      </w:r>
      <w:r w:rsidR="00670A6F">
        <w:t xml:space="preserve">consent to share information with the previous Advisor is assumed to be </w:t>
      </w:r>
      <w:r>
        <w:t xml:space="preserve">terminated, and a release for the new Advisor must be submitted. </w:t>
      </w:r>
    </w:p>
    <w:p w14:paraId="3FA5A9E2" w14:textId="77777777" w:rsidR="002D22F0" w:rsidRDefault="002D22F0" w:rsidP="00F539C8">
      <w:pPr>
        <w:ind w:left="720"/>
      </w:pPr>
    </w:p>
    <w:p w14:paraId="69A67B48" w14:textId="3F7292E9" w:rsidR="002D22F0" w:rsidRDefault="002D22F0">
      <w:pPr>
        <w:ind w:left="720"/>
      </w:pPr>
      <w:r w:rsidRPr="00ED3CAB">
        <w:t xml:space="preserve">The </w:t>
      </w:r>
      <w:r w:rsidRPr="00AF4053">
        <w:rPr>
          <w:highlight w:val="lightGray"/>
        </w:rPr>
        <w:t>Recipient</w:t>
      </w:r>
      <w:r w:rsidRPr="00ED3CAB">
        <w:t xml:space="preserve"> may permit </w:t>
      </w:r>
      <w:r w:rsidR="0028631C">
        <w:t>P</w:t>
      </w:r>
      <w:r w:rsidRPr="00ED3CAB">
        <w:t xml:space="preserve">arties to have more than one Advisor, or an Advisor and a support person, upon special request to the </w:t>
      </w:r>
      <w:r w:rsidRPr="00AF4053">
        <w:rPr>
          <w:highlight w:val="lightGray"/>
        </w:rPr>
        <w:t>Administrator</w:t>
      </w:r>
      <w:r w:rsidRPr="00ED3CAB">
        <w:t xml:space="preserve">. The decision to grant this request is at the </w:t>
      </w:r>
      <w:r w:rsidR="00457D2F" w:rsidRPr="0026242C">
        <w:rPr>
          <w:highlight w:val="lightGray"/>
        </w:rPr>
        <w:t>Administrator</w:t>
      </w:r>
      <w:r w:rsidR="00457D2F">
        <w:t>’s</w:t>
      </w:r>
      <w:r w:rsidR="00457D2F" w:rsidRPr="00ED3CAB">
        <w:t xml:space="preserve"> </w:t>
      </w:r>
      <w:r w:rsidRPr="00ED3CAB">
        <w:t xml:space="preserve">sole discretion and will be granted equitably to all </w:t>
      </w:r>
      <w:r w:rsidR="0028631C">
        <w:t>P</w:t>
      </w:r>
      <w:r w:rsidRPr="00ED3CAB">
        <w:t>arties.</w:t>
      </w:r>
    </w:p>
    <w:p w14:paraId="06E95EFD" w14:textId="77777777" w:rsidR="00054B6C" w:rsidRDefault="00054B6C">
      <w:pPr>
        <w:ind w:left="720"/>
      </w:pPr>
    </w:p>
    <w:p w14:paraId="2AA77FEB" w14:textId="0CB2ACAA" w:rsidR="00054B6C" w:rsidRDefault="00054B6C" w:rsidP="00054B6C">
      <w:pPr>
        <w:ind w:left="720"/>
      </w:pPr>
      <w:r w:rsidRPr="004807D2">
        <w:rPr>
          <w:highlight w:val="lightGray"/>
        </w:rPr>
        <w:t>[If a party requests that all communication be made through their attorney Advisor</w:t>
      </w:r>
      <w:r w:rsidR="00CC2E79">
        <w:rPr>
          <w:highlight w:val="lightGray"/>
        </w:rPr>
        <w:t xml:space="preserve"> instead of to the</w:t>
      </w:r>
      <w:r w:rsidR="00CC692C">
        <w:rPr>
          <w:highlight w:val="lightGray"/>
        </w:rPr>
        <w:t xml:space="preserve"> party</w:t>
      </w:r>
      <w:r w:rsidRPr="004807D2">
        <w:rPr>
          <w:highlight w:val="lightGray"/>
        </w:rPr>
        <w:t xml:space="preserve">, the Recipient </w:t>
      </w:r>
      <w:r w:rsidR="00CC2E79">
        <w:rPr>
          <w:highlight w:val="lightGray"/>
        </w:rPr>
        <w:t>will</w:t>
      </w:r>
      <w:r w:rsidRPr="004807D2">
        <w:rPr>
          <w:highlight w:val="lightGray"/>
        </w:rPr>
        <w:t xml:space="preserve"> </w:t>
      </w:r>
      <w:r w:rsidR="002D551C">
        <w:rPr>
          <w:highlight w:val="lightGray"/>
        </w:rPr>
        <w:t>[</w:t>
      </w:r>
      <w:r w:rsidRPr="004807D2">
        <w:rPr>
          <w:highlight w:val="lightGray"/>
        </w:rPr>
        <w:t>comply with that request</w:t>
      </w:r>
      <w:r>
        <w:rPr>
          <w:highlight w:val="lightGray"/>
        </w:rPr>
        <w:t xml:space="preserve"> </w:t>
      </w:r>
      <w:r w:rsidRPr="00215345">
        <w:rPr>
          <w:b/>
          <w:bCs/>
          <w:highlight w:val="lightGray"/>
        </w:rPr>
        <w:t>OR</w:t>
      </w:r>
      <w:r w:rsidRPr="004807D2">
        <w:rPr>
          <w:highlight w:val="lightGray"/>
        </w:rPr>
        <w:t xml:space="preserve"> </w:t>
      </w:r>
      <w:r w:rsidR="00CC2E79">
        <w:rPr>
          <w:highlight w:val="lightGray"/>
        </w:rPr>
        <w:t>refuse</w:t>
      </w:r>
      <w:r w:rsidRPr="004807D2">
        <w:rPr>
          <w:highlight w:val="lightGray"/>
        </w:rPr>
        <w:t xml:space="preserve"> that request at the discretion of the </w:t>
      </w:r>
      <w:r>
        <w:rPr>
          <w:highlight w:val="lightGray"/>
        </w:rPr>
        <w:t>Administrator</w:t>
      </w:r>
      <w:r w:rsidR="00CC2E79">
        <w:rPr>
          <w:highlight w:val="lightGray"/>
        </w:rPr>
        <w:t xml:space="preserve"> </w:t>
      </w:r>
      <w:r w:rsidR="00CC2E79" w:rsidRPr="00ED3CAB">
        <w:rPr>
          <w:b/>
          <w:bCs/>
          <w:highlight w:val="lightGray"/>
        </w:rPr>
        <w:t>OR</w:t>
      </w:r>
      <w:r w:rsidR="00CC2E79">
        <w:rPr>
          <w:highlight w:val="lightGray"/>
        </w:rPr>
        <w:t xml:space="preserve"> agree to copy both the party and their </w:t>
      </w:r>
      <w:r w:rsidR="00CC692C">
        <w:rPr>
          <w:highlight w:val="lightGray"/>
        </w:rPr>
        <w:t>A</w:t>
      </w:r>
      <w:r w:rsidR="00CC2E79">
        <w:rPr>
          <w:highlight w:val="lightGray"/>
        </w:rPr>
        <w:t>dvisor on all communications</w:t>
      </w:r>
      <w:r w:rsidRPr="004807D2">
        <w:rPr>
          <w:highlight w:val="lightGray"/>
        </w:rPr>
        <w:t>.</w:t>
      </w:r>
      <w:r w:rsidR="002D551C">
        <w:rPr>
          <w:highlight w:val="lightGray"/>
        </w:rPr>
        <w:t>]</w:t>
      </w:r>
      <w:r w:rsidRPr="004807D2">
        <w:rPr>
          <w:highlight w:val="lightGray"/>
        </w:rPr>
        <w:t>]</w:t>
      </w:r>
      <w:r>
        <w:t xml:space="preserve"> </w:t>
      </w:r>
    </w:p>
    <w:p w14:paraId="76E32779" w14:textId="77777777" w:rsidR="00054B6C" w:rsidRDefault="00054B6C" w:rsidP="00054B6C">
      <w:pPr>
        <w:ind w:left="720"/>
      </w:pPr>
    </w:p>
    <w:p w14:paraId="02F5CC33" w14:textId="3D96AF4E" w:rsidR="00054B6C" w:rsidRDefault="00054B6C" w:rsidP="00F539C8">
      <w:pPr>
        <w:ind w:left="720"/>
      </w:pPr>
      <w:r w:rsidRPr="00ED3CAB">
        <w:t xml:space="preserve">Advisors appointed by the institution </w:t>
      </w:r>
      <w:r w:rsidR="00CC2E79">
        <w:t>cannot</w:t>
      </w:r>
      <w:r w:rsidR="00CC2E79" w:rsidRPr="00ED3CAB">
        <w:t xml:space="preserve"> </w:t>
      </w:r>
      <w:r w:rsidRPr="00ED3CAB">
        <w:t xml:space="preserve">be </w:t>
      </w:r>
      <w:r w:rsidR="00CC2E79" w:rsidRPr="00ED3CAB">
        <w:t>confidential employees</w:t>
      </w:r>
      <w:r w:rsidR="00E40110">
        <w:t>,</w:t>
      </w:r>
      <w:r w:rsidR="00CC2E79" w:rsidRPr="00ED3CAB">
        <w:t xml:space="preserve"> and </w:t>
      </w:r>
      <w:r w:rsidR="00CC692C">
        <w:t xml:space="preserve">although </w:t>
      </w:r>
      <w:r w:rsidR="00CC2E79" w:rsidRPr="00ED3CAB">
        <w:t xml:space="preserve">they will not be </w:t>
      </w:r>
      <w:r w:rsidRPr="00ED3CAB">
        <w:t>asked to disclose details of their interactions with their advisees to institutional officials or Decision-makers</w:t>
      </w:r>
      <w:r w:rsidR="00CC2E79">
        <w:t xml:space="preserve"> absent an emergency</w:t>
      </w:r>
      <w:r w:rsidR="00CC2E79" w:rsidRPr="00ED3CAB">
        <w:t>, they are still reminded of their Mandated Reporter responsibilities.</w:t>
      </w:r>
    </w:p>
    <w:p w14:paraId="3C15ECFB" w14:textId="77777777" w:rsidR="003D4F66" w:rsidRDefault="003D4F66" w:rsidP="00F539C8">
      <w:pPr>
        <w:ind w:left="720"/>
      </w:pPr>
    </w:p>
    <w:p w14:paraId="30311FC4" w14:textId="777A71F0" w:rsidR="003D4F66" w:rsidRDefault="003D4F66" w:rsidP="00F539C8">
      <w:pPr>
        <w:ind w:left="720"/>
      </w:pPr>
      <w:r w:rsidRPr="003D4F66">
        <w:rPr>
          <w:highlight w:val="lightGray"/>
        </w:rPr>
        <w:t>[As a public entity, Recipient fully respects and accords the Weingarten rights of employees</w:t>
      </w:r>
      <w:r w:rsidR="00877150">
        <w:rPr>
          <w:highlight w:val="lightGray"/>
        </w:rPr>
        <w:t>, meaning that f</w:t>
      </w:r>
      <w:r w:rsidRPr="003D4F66">
        <w:rPr>
          <w:highlight w:val="lightGray"/>
        </w:rPr>
        <w:t xml:space="preserve">or </w:t>
      </w:r>
      <w:r w:rsidR="0028631C">
        <w:rPr>
          <w:highlight w:val="lightGray"/>
        </w:rPr>
        <w:t>P</w:t>
      </w:r>
      <w:r w:rsidRPr="003D4F66">
        <w:rPr>
          <w:highlight w:val="lightGray"/>
        </w:rPr>
        <w:t xml:space="preserve">arties who are entitled to union representation, the Recipient will allow the unionized employee to have their union representative (if requested by the party) as well as an Advisor of their choice present for all resolution-related meetings and interviews. To uphold the principles of equity, the other party (regardless of union membership) will also be permitted to have two Advisors. Witnesses </w:t>
      </w:r>
      <w:r w:rsidR="00434BCC">
        <w:rPr>
          <w:highlight w:val="lightGray"/>
        </w:rPr>
        <w:t>[</w:t>
      </w:r>
      <w:r w:rsidRPr="003D4F66">
        <w:rPr>
          <w:highlight w:val="lightGray"/>
        </w:rPr>
        <w:t>are</w:t>
      </w:r>
      <w:r w:rsidR="00434BCC">
        <w:rPr>
          <w:highlight w:val="lightGray"/>
        </w:rPr>
        <w:t xml:space="preserve"> </w:t>
      </w:r>
      <w:r w:rsidR="00434BCC" w:rsidRPr="00AF4053">
        <w:rPr>
          <w:b/>
          <w:bCs/>
          <w:highlight w:val="lightGray"/>
        </w:rPr>
        <w:t>OR</w:t>
      </w:r>
      <w:r w:rsidR="00434BCC">
        <w:rPr>
          <w:highlight w:val="lightGray"/>
        </w:rPr>
        <w:t xml:space="preserve"> </w:t>
      </w:r>
      <w:r w:rsidRPr="003D4F66">
        <w:rPr>
          <w:highlight w:val="lightGray"/>
        </w:rPr>
        <w:t>are not</w:t>
      </w:r>
      <w:r w:rsidR="00434BCC">
        <w:rPr>
          <w:highlight w:val="lightGray"/>
        </w:rPr>
        <w:t>]</w:t>
      </w:r>
      <w:r w:rsidRPr="003D4F66">
        <w:rPr>
          <w:highlight w:val="lightGray"/>
        </w:rPr>
        <w:t xml:space="preserve"> permitted to have union representation or Advisors in </w:t>
      </w:r>
      <w:r w:rsidR="00040572">
        <w:rPr>
          <w:highlight w:val="lightGray"/>
        </w:rPr>
        <w:t>Resolution Process</w:t>
      </w:r>
      <w:r w:rsidRPr="003D4F66">
        <w:rPr>
          <w:highlight w:val="lightGray"/>
        </w:rPr>
        <w:t xml:space="preserve"> interviews or meetings</w:t>
      </w:r>
      <w:r w:rsidR="00D61557">
        <w:rPr>
          <w:highlight w:val="lightGray"/>
        </w:rPr>
        <w:t>.</w:t>
      </w:r>
      <w:r w:rsidRPr="003D4F66">
        <w:rPr>
          <w:highlight w:val="lightGray"/>
        </w:rPr>
        <w:t>]</w:t>
      </w:r>
      <w:r>
        <w:t xml:space="preserve"> </w:t>
      </w:r>
    </w:p>
    <w:p w14:paraId="46E1BAC5" w14:textId="77777777" w:rsidR="003D4F66" w:rsidRPr="003D4F66" w:rsidRDefault="003D4F66" w:rsidP="005E6B05">
      <w:pPr>
        <w:ind w:left="720"/>
      </w:pPr>
    </w:p>
    <w:p w14:paraId="165C9E5C" w14:textId="7E4DA464" w:rsidR="008B67BF" w:rsidRDefault="008B67BF" w:rsidP="00CA2C40">
      <w:pPr>
        <w:pStyle w:val="Heading2"/>
      </w:pPr>
      <w:bookmarkStart w:id="78" w:name="_Toc82511654"/>
      <w:bookmarkStart w:id="79" w:name="_Toc102393976"/>
      <w:bookmarkStart w:id="80" w:name="_Toc168477535"/>
      <w:r>
        <w:t xml:space="preserve">Advisor’s Role in </w:t>
      </w:r>
      <w:bookmarkEnd w:id="78"/>
      <w:bookmarkEnd w:id="79"/>
      <w:r w:rsidR="007C152D">
        <w:t>the Resolution Process</w:t>
      </w:r>
      <w:bookmarkEnd w:id="80"/>
    </w:p>
    <w:p w14:paraId="141EA1F9" w14:textId="763893D0" w:rsidR="003D4F66" w:rsidRDefault="003D4F66" w:rsidP="003D4F66"/>
    <w:p w14:paraId="1B093EB3" w14:textId="03A8866B" w:rsidR="008D0FBB" w:rsidRDefault="003D4F66" w:rsidP="008D0FBB">
      <w:pPr>
        <w:ind w:left="720"/>
      </w:pPr>
      <w:r>
        <w:t xml:space="preserve">Advisors should help the </w:t>
      </w:r>
      <w:r w:rsidR="0028631C">
        <w:t>P</w:t>
      </w:r>
      <w:r>
        <w:t xml:space="preserve">arties </w:t>
      </w:r>
      <w:r w:rsidR="0063027B">
        <w:t xml:space="preserve">to </w:t>
      </w:r>
      <w:r>
        <w:t xml:space="preserve">prepare for each meeting and are expected to advise ethically, with integrity, and in good faith. </w:t>
      </w:r>
      <w:r w:rsidR="00314450">
        <w:t>Advisors may not provide testimony or speak on behalf of their advisee</w:t>
      </w:r>
      <w:r w:rsidR="0063027B">
        <w:t xml:space="preserve"> unless given specific permission to do so</w:t>
      </w:r>
      <w:r w:rsidR="00314450">
        <w:t xml:space="preserve">. </w:t>
      </w:r>
    </w:p>
    <w:p w14:paraId="24B0DF5A" w14:textId="77777777" w:rsidR="00CF4CBE" w:rsidRDefault="00CF4CBE" w:rsidP="008D0FBB">
      <w:pPr>
        <w:ind w:left="720"/>
      </w:pPr>
    </w:p>
    <w:p w14:paraId="607C2DE5" w14:textId="5C3C02E2" w:rsidR="00CF4CBE" w:rsidRDefault="00CF4CBE" w:rsidP="00D2048D">
      <w:pPr>
        <w:ind w:left="720"/>
      </w:pPr>
      <w:r>
        <w:t xml:space="preserve">The </w:t>
      </w:r>
      <w:r w:rsidR="0028631C">
        <w:t>P</w:t>
      </w:r>
      <w:r>
        <w:t xml:space="preserve">arties are expected to ask and respond to questions on their own behalf throughout the Resolution Process. Although the Advisor generally may not speak on behalf of their advisee, the Advisor may consult with their advisee, either privately as needed, or by conferring or passing notes during any Resolution Process meeting or interview. For longer or more involved discussions, the </w:t>
      </w:r>
      <w:r w:rsidR="0028631C">
        <w:t>P</w:t>
      </w:r>
      <w:r>
        <w:t>arties and their Advisors should ask for breaks to allow for private consultation.</w:t>
      </w:r>
    </w:p>
    <w:p w14:paraId="69259256" w14:textId="77777777" w:rsidR="003D4F66" w:rsidRDefault="003D4F66" w:rsidP="008D0FBB"/>
    <w:p w14:paraId="1740AE74" w14:textId="04DBE541" w:rsidR="008D0FBB" w:rsidRDefault="00054B6C" w:rsidP="00F766D9">
      <w:pPr>
        <w:ind w:left="720"/>
      </w:pPr>
      <w:r w:rsidRPr="003D4F66">
        <w:rPr>
          <w:highlight w:val="lightGray"/>
        </w:rPr>
        <w:lastRenderedPageBreak/>
        <w:t xml:space="preserve">[Where applicable under state law or Recipient </w:t>
      </w:r>
      <w:r w:rsidR="00D715ED">
        <w:rPr>
          <w:highlight w:val="lightGray"/>
        </w:rPr>
        <w:t>P</w:t>
      </w:r>
      <w:r w:rsidRPr="003D4F66">
        <w:rPr>
          <w:highlight w:val="lightGray"/>
        </w:rPr>
        <w:t xml:space="preserve">olicy, Advisors or attorneys are permitted to fully represent their advisees or clients in </w:t>
      </w:r>
      <w:r w:rsidR="007C152D">
        <w:rPr>
          <w:highlight w:val="lightGray"/>
        </w:rPr>
        <w:t>the R</w:t>
      </w:r>
      <w:r w:rsidRPr="003D4F66">
        <w:rPr>
          <w:highlight w:val="lightGray"/>
        </w:rPr>
        <w:t xml:space="preserve">esolution </w:t>
      </w:r>
      <w:r w:rsidR="007C152D">
        <w:rPr>
          <w:highlight w:val="lightGray"/>
        </w:rPr>
        <w:t>P</w:t>
      </w:r>
      <w:r w:rsidRPr="003D4F66">
        <w:rPr>
          <w:highlight w:val="lightGray"/>
        </w:rPr>
        <w:t>roce</w:t>
      </w:r>
      <w:r w:rsidR="007C152D">
        <w:rPr>
          <w:highlight w:val="lightGray"/>
        </w:rPr>
        <w:t>ss</w:t>
      </w:r>
      <w:r w:rsidRPr="003D4F66">
        <w:rPr>
          <w:highlight w:val="lightGray"/>
        </w:rPr>
        <w:t xml:space="preserve">, including all meetings, interviews, and hearings. Although Recipient prefers to hear from </w:t>
      </w:r>
      <w:r w:rsidR="0028631C">
        <w:rPr>
          <w:highlight w:val="lightGray"/>
        </w:rPr>
        <w:t>Parties</w:t>
      </w:r>
      <w:r w:rsidRPr="003D4F66">
        <w:rPr>
          <w:highlight w:val="lightGray"/>
        </w:rPr>
        <w:t xml:space="preserve"> directly, in these cases, </w:t>
      </w:r>
      <w:r w:rsidR="0028631C">
        <w:rPr>
          <w:highlight w:val="lightGray"/>
        </w:rPr>
        <w:t>Parties</w:t>
      </w:r>
      <w:r w:rsidRPr="003D4F66">
        <w:rPr>
          <w:highlight w:val="lightGray"/>
        </w:rPr>
        <w:t xml:space="preserve"> are entitled to have </w:t>
      </w:r>
      <w:r w:rsidR="00CC692C" w:rsidRPr="003D4F66">
        <w:rPr>
          <w:highlight w:val="lightGray"/>
        </w:rPr>
        <w:t xml:space="preserve">their chosen representatives provide </w:t>
      </w:r>
      <w:r w:rsidRPr="003D4F66">
        <w:rPr>
          <w:highlight w:val="lightGray"/>
        </w:rPr>
        <w:t>evidenc</w:t>
      </w:r>
      <w:r w:rsidR="00CC692C">
        <w:rPr>
          <w:highlight w:val="lightGray"/>
        </w:rPr>
        <w:t>e</w:t>
      </w:r>
      <w:r>
        <w:rPr>
          <w:highlight w:val="lightGray"/>
        </w:rPr>
        <w:t>.</w:t>
      </w:r>
      <w:r w:rsidRPr="003D4F66">
        <w:rPr>
          <w:highlight w:val="lightGray"/>
        </w:rPr>
        <w:t>]</w:t>
      </w:r>
      <w:r>
        <w:t xml:space="preserve"> </w:t>
      </w:r>
      <w:bookmarkStart w:id="81" w:name="_Toc82511657"/>
      <w:bookmarkStart w:id="82" w:name="_Toc102393979"/>
      <w:r w:rsidR="00F766D9">
        <w:br/>
      </w:r>
    </w:p>
    <w:p w14:paraId="3FF0A1E8" w14:textId="5F29EF29" w:rsidR="008D0FBB" w:rsidRDefault="008D0FBB" w:rsidP="008D0FBB">
      <w:pPr>
        <w:pStyle w:val="Heading2"/>
      </w:pPr>
      <w:bookmarkStart w:id="83" w:name="_Toc168477536"/>
      <w:r>
        <w:t>Records Shared with Advisors</w:t>
      </w:r>
      <w:bookmarkEnd w:id="83"/>
    </w:p>
    <w:p w14:paraId="0D80264A" w14:textId="77777777" w:rsidR="008D0FBB" w:rsidRDefault="008D0FBB" w:rsidP="008D0FBB"/>
    <w:p w14:paraId="3213D9F6" w14:textId="4354CFFE" w:rsidR="00054B6C" w:rsidRDefault="008D0FBB" w:rsidP="008D0FBB">
      <w:pPr>
        <w:ind w:left="720"/>
      </w:pPr>
      <w:r w:rsidRPr="004807D2">
        <w:t xml:space="preserve">Advisors are </w:t>
      </w:r>
      <w:r w:rsidR="00054B6C">
        <w:t xml:space="preserve">entitled </w:t>
      </w:r>
      <w:r w:rsidR="00CB5EF0">
        <w:t xml:space="preserve">to </w:t>
      </w:r>
      <w:r w:rsidR="00054B6C">
        <w:t xml:space="preserve">the same opportunity as their advisee to access relevant evidence, and/or the same written investigation report that accurately summarizes this evidence. </w:t>
      </w:r>
    </w:p>
    <w:p w14:paraId="408C7950" w14:textId="77777777" w:rsidR="00054B6C" w:rsidRDefault="00054B6C" w:rsidP="008D0FBB">
      <w:pPr>
        <w:ind w:left="720"/>
      </w:pPr>
    </w:p>
    <w:p w14:paraId="22E60CA7" w14:textId="2773BA1E" w:rsidR="00D02EEB" w:rsidRDefault="00054B6C" w:rsidP="008D0FBB">
      <w:pPr>
        <w:ind w:left="720"/>
      </w:pPr>
      <w:r>
        <w:t xml:space="preserve">Advisors are </w:t>
      </w:r>
      <w:r w:rsidR="008D0FBB" w:rsidRPr="004807D2">
        <w:t xml:space="preserve">expected to maintain the </w:t>
      </w:r>
      <w:r w:rsidR="00FA4444">
        <w:t>confidentiality</w:t>
      </w:r>
      <w:r w:rsidR="00FA4444" w:rsidRPr="004807D2">
        <w:t xml:space="preserve"> </w:t>
      </w:r>
      <w:r w:rsidR="008D0FBB" w:rsidRPr="004807D2">
        <w:t xml:space="preserve">of the records </w:t>
      </w:r>
      <w:r w:rsidR="009D18A8">
        <w:t xml:space="preserve">the </w:t>
      </w:r>
      <w:r w:rsidR="009D18A8" w:rsidRPr="004D6463">
        <w:rPr>
          <w:highlight w:val="lightGray"/>
        </w:rPr>
        <w:t>Recipient</w:t>
      </w:r>
      <w:r w:rsidR="009D18A8" w:rsidRPr="004807D2">
        <w:t xml:space="preserve"> </w:t>
      </w:r>
      <w:r w:rsidR="008D0FBB" w:rsidRPr="004807D2">
        <w:t>share</w:t>
      </w:r>
      <w:r w:rsidR="009D18A8">
        <w:t>s</w:t>
      </w:r>
      <w:r w:rsidR="008D0FBB" w:rsidRPr="004807D2">
        <w:t xml:space="preserve"> with them</w:t>
      </w:r>
      <w:r w:rsidR="00FA4444">
        <w:t xml:space="preserve">, </w:t>
      </w:r>
      <w:hyperlink w:anchor="ReportsComplaintsSection14" w:history="1">
        <w:r w:rsidR="00FA4444" w:rsidRPr="00685BA9">
          <w:rPr>
            <w:rStyle w:val="Hyperlink"/>
          </w:rPr>
          <w:t>Section 14</w:t>
        </w:r>
      </w:hyperlink>
      <w:r w:rsidR="00FA4444">
        <w:t xml:space="preserve"> of the Policy addressing Confidentiality</w:t>
      </w:r>
      <w:r w:rsidR="008D0FBB" w:rsidRPr="004807D2">
        <w:t xml:space="preserve">. </w:t>
      </w:r>
      <w:r w:rsidR="00C322E9">
        <w:t xml:space="preserve">Advisors may not disclose any </w:t>
      </w:r>
      <w:r w:rsidR="00FA4444" w:rsidRPr="00ED3CAB">
        <w:rPr>
          <w:highlight w:val="lightGray"/>
        </w:rPr>
        <w:t>Recipient</w:t>
      </w:r>
      <w:r w:rsidR="00FA4444">
        <w:t xml:space="preserve"> work product or </w:t>
      </w:r>
      <w:r w:rsidR="00C322E9">
        <w:t xml:space="preserve">evidence </w:t>
      </w:r>
      <w:r w:rsidR="002453A8">
        <w:t xml:space="preserve">the </w:t>
      </w:r>
      <w:r w:rsidR="002453A8" w:rsidRPr="002133F1">
        <w:rPr>
          <w:highlight w:val="lightGray"/>
        </w:rPr>
        <w:t>Recipient</w:t>
      </w:r>
      <w:r w:rsidR="002453A8">
        <w:t xml:space="preserve"> </w:t>
      </w:r>
      <w:r w:rsidR="00C322E9">
        <w:t xml:space="preserve">obtained solely through the Resolution Process </w:t>
      </w:r>
      <w:r w:rsidR="00CF4CBE" w:rsidRPr="00ED3CAB">
        <w:t xml:space="preserve">for </w:t>
      </w:r>
      <w:r w:rsidR="00FA4444" w:rsidRPr="00ED3CAB">
        <w:t xml:space="preserve">any </w:t>
      </w:r>
      <w:r w:rsidR="00CF4CBE" w:rsidRPr="00ED3CAB">
        <w:t xml:space="preserve">purpose not explicitly authorized by </w:t>
      </w:r>
      <w:r w:rsidR="00CF4CBE" w:rsidRPr="00D558C4">
        <w:rPr>
          <w:highlight w:val="lightGray"/>
        </w:rPr>
        <w:t xml:space="preserve">Recipient. </w:t>
      </w:r>
    </w:p>
    <w:p w14:paraId="5157C0CF" w14:textId="77777777" w:rsidR="00D02EEB" w:rsidRDefault="00D02EEB" w:rsidP="00F539C8"/>
    <w:p w14:paraId="1E5D36BC" w14:textId="1CB39C1F" w:rsidR="00BA3599" w:rsidRDefault="00F2666D" w:rsidP="008D0FBB">
      <w:pPr>
        <w:ind w:left="720"/>
      </w:pPr>
      <w:r w:rsidRPr="00ED3CAB">
        <w:t xml:space="preserve">Accordingly, </w:t>
      </w:r>
      <w:r w:rsidR="008D0FBB" w:rsidRPr="00ED3CAB">
        <w:t>Advisors will be asked to sign Non-Disclosure Agreements (NDAs)</w:t>
      </w:r>
      <w:r w:rsidRPr="00ED3CAB">
        <w:t>. T</w:t>
      </w:r>
      <w:r w:rsidR="008D0FBB" w:rsidRPr="00ED3CAB">
        <w:t xml:space="preserve">he </w:t>
      </w:r>
      <w:r w:rsidR="008D0FBB" w:rsidRPr="0028631C">
        <w:rPr>
          <w:highlight w:val="lightGray"/>
        </w:rPr>
        <w:t>Recipient</w:t>
      </w:r>
      <w:r w:rsidR="008D0FBB" w:rsidRPr="00ED3CAB">
        <w:t xml:space="preserve"> may decline to share materials with any Advisor who has not executed the NDA. </w:t>
      </w:r>
      <w:proofErr w:type="gramStart"/>
      <w:r w:rsidR="008D0FBB" w:rsidRPr="00AF4053">
        <w:rPr>
          <w:highlight w:val="lightGray"/>
        </w:rPr>
        <w:t>Recipient</w:t>
      </w:r>
      <w:proofErr w:type="gramEnd"/>
      <w:r w:rsidR="008D0FBB" w:rsidRPr="00ED3CAB">
        <w:t xml:space="preserve"> may restrict the role of any Advisor who does not respect the sensitive nature of the process or who fails to abide by the </w:t>
      </w:r>
      <w:r w:rsidR="008D0FBB" w:rsidRPr="00AF4053">
        <w:rPr>
          <w:highlight w:val="lightGray"/>
        </w:rPr>
        <w:t>Recipient</w:t>
      </w:r>
      <w:r w:rsidR="008D0FBB" w:rsidRPr="00ED3CAB">
        <w:t xml:space="preserve">’s </w:t>
      </w:r>
      <w:r w:rsidRPr="00ED3CAB">
        <w:t xml:space="preserve">confidentiality </w:t>
      </w:r>
      <w:r w:rsidR="008D0FBB" w:rsidRPr="00ED3CAB">
        <w:t>expectations.</w:t>
      </w:r>
    </w:p>
    <w:p w14:paraId="1312068C" w14:textId="77777777" w:rsidR="008D0FBB" w:rsidRDefault="008D0FBB" w:rsidP="008D0FBB">
      <w:pPr>
        <w:ind w:left="720"/>
      </w:pPr>
    </w:p>
    <w:p w14:paraId="7294A167" w14:textId="57B832A7" w:rsidR="008D0FBB" w:rsidRDefault="00E84C60" w:rsidP="008D0FBB">
      <w:pPr>
        <w:pStyle w:val="Heading2"/>
      </w:pPr>
      <w:bookmarkStart w:id="84" w:name="_Toc168477537"/>
      <w:r w:rsidRPr="00E84C60">
        <w:rPr>
          <w:rFonts w:cs="Times New Roman"/>
        </w:rPr>
        <w:t xml:space="preserve">Advisor </w:t>
      </w:r>
      <w:r w:rsidR="008D0FBB" w:rsidRPr="00E84C60">
        <w:t>E</w:t>
      </w:r>
      <w:r w:rsidR="008D0FBB">
        <w:t>xpectation</w:t>
      </w:r>
      <w:r>
        <w:t>s</w:t>
      </w:r>
      <w:bookmarkEnd w:id="84"/>
    </w:p>
    <w:p w14:paraId="4B00EC18" w14:textId="77777777" w:rsidR="008D0FBB" w:rsidRDefault="008D0FBB" w:rsidP="008D0FBB"/>
    <w:p w14:paraId="7D6E4256" w14:textId="718BCBE4" w:rsidR="008D0FBB" w:rsidRDefault="008D0FBB" w:rsidP="008D0FBB">
      <w:pPr>
        <w:ind w:left="720"/>
      </w:pPr>
      <w:r>
        <w:t xml:space="preserve">The </w:t>
      </w:r>
      <w:r w:rsidRPr="004807D2">
        <w:rPr>
          <w:highlight w:val="lightGray"/>
        </w:rPr>
        <w:t>Recipient</w:t>
      </w:r>
      <w:r>
        <w:t xml:space="preserve"> generally expects an Advisor to adjust their schedule to allow them to attend </w:t>
      </w:r>
      <w:r w:rsidRPr="004807D2">
        <w:rPr>
          <w:highlight w:val="lightGray"/>
        </w:rPr>
        <w:t>Recipient</w:t>
      </w:r>
      <w:r>
        <w:t xml:space="preserve"> meetings/interviews</w:t>
      </w:r>
      <w:r w:rsidR="00CF4CBE" w:rsidRPr="00ED3CAB">
        <w:rPr>
          <w:highlight w:val="lightGray"/>
        </w:rPr>
        <w:t>[</w:t>
      </w:r>
      <w:r w:rsidRPr="000A0A0C">
        <w:rPr>
          <w:highlight w:val="lightGray"/>
        </w:rPr>
        <w:t>/hearings</w:t>
      </w:r>
      <w:r w:rsidR="00CF4CBE" w:rsidRPr="00ED3CAB">
        <w:rPr>
          <w:highlight w:val="lightGray"/>
        </w:rPr>
        <w:t>]</w:t>
      </w:r>
      <w:r>
        <w:t xml:space="preserve"> when planned, but the </w:t>
      </w:r>
      <w:r w:rsidRPr="004807D2">
        <w:rPr>
          <w:highlight w:val="lightGray"/>
        </w:rPr>
        <w:t>Recipient</w:t>
      </w:r>
      <w:r>
        <w:t xml:space="preserve"> may change scheduled meetings/interviews</w:t>
      </w:r>
      <w:r w:rsidR="00215345" w:rsidRPr="00215345">
        <w:rPr>
          <w:highlight w:val="lightGray"/>
        </w:rPr>
        <w:t>[</w:t>
      </w:r>
      <w:r w:rsidRPr="00215345">
        <w:rPr>
          <w:highlight w:val="lightGray"/>
        </w:rPr>
        <w:t>/hearings</w:t>
      </w:r>
      <w:r w:rsidR="00215345" w:rsidRPr="00215345">
        <w:rPr>
          <w:highlight w:val="lightGray"/>
        </w:rPr>
        <w:t>]</w:t>
      </w:r>
      <w:r>
        <w:t xml:space="preserve"> to accommodate an Advisor’s inability to attend, if doing so does not cause an unreasonable delay. </w:t>
      </w:r>
    </w:p>
    <w:p w14:paraId="09F3D37C" w14:textId="77777777" w:rsidR="008D0FBB" w:rsidRDefault="008D0FBB" w:rsidP="008D0FBB">
      <w:pPr>
        <w:ind w:left="720"/>
      </w:pPr>
    </w:p>
    <w:p w14:paraId="1DB9487B" w14:textId="409DBB0E" w:rsidR="00CF4CBE" w:rsidRDefault="008D0FBB" w:rsidP="008D0FBB">
      <w:pPr>
        <w:ind w:left="720"/>
      </w:pPr>
      <w:r>
        <w:t xml:space="preserve">The </w:t>
      </w:r>
      <w:r w:rsidRPr="004807D2">
        <w:rPr>
          <w:highlight w:val="lightGray"/>
        </w:rPr>
        <w:t>Recipient</w:t>
      </w:r>
      <w:r>
        <w:t xml:space="preserve"> may also make reasonable provisions to allow an Advisor who cannot be present in person to attend a meeting/interview</w:t>
      </w:r>
      <w:r w:rsidR="00CF4CBE" w:rsidRPr="00ED3CAB">
        <w:rPr>
          <w:highlight w:val="lightGray"/>
        </w:rPr>
        <w:t>[</w:t>
      </w:r>
      <w:r w:rsidRPr="000A0A0C">
        <w:rPr>
          <w:highlight w:val="lightGray"/>
        </w:rPr>
        <w:t>/hearing</w:t>
      </w:r>
      <w:r w:rsidR="00CF4CBE" w:rsidRPr="00ED3CAB">
        <w:rPr>
          <w:highlight w:val="lightGray"/>
        </w:rPr>
        <w:t>]</w:t>
      </w:r>
      <w:r>
        <w:t xml:space="preserve"> by telephone, video conferencing, or other similar technologies.</w:t>
      </w:r>
    </w:p>
    <w:p w14:paraId="2D1BB872" w14:textId="77777777" w:rsidR="00CF4CBE" w:rsidRDefault="00CF4CBE" w:rsidP="00CF4CBE">
      <w:pPr>
        <w:ind w:left="720"/>
      </w:pPr>
    </w:p>
    <w:p w14:paraId="31FD61CC" w14:textId="77777777" w:rsidR="00CF4CBE" w:rsidRDefault="00CF4CBE" w:rsidP="00CF4CBE">
      <w:pPr>
        <w:ind w:left="720"/>
      </w:pPr>
      <w:r>
        <w:t xml:space="preserve">All Advisors are subject to the same </w:t>
      </w:r>
      <w:r w:rsidRPr="00642DED">
        <w:rPr>
          <w:highlight w:val="lightGray"/>
        </w:rPr>
        <w:t>Recipient</w:t>
      </w:r>
      <w:r>
        <w:t xml:space="preserve"> policies and procedures, whether they are attorneys or not, and whether they are selected by a party or appointed by the </w:t>
      </w:r>
      <w:r w:rsidRPr="00642DED">
        <w:rPr>
          <w:highlight w:val="lightGray"/>
        </w:rPr>
        <w:t>Recipient</w:t>
      </w:r>
      <w:r>
        <w:t xml:space="preserve">. Advisors are expected to advise their advisees without disrupting proceedings. </w:t>
      </w:r>
    </w:p>
    <w:p w14:paraId="6CE9FBF0" w14:textId="77777777" w:rsidR="00CF4CBE" w:rsidRDefault="00CF4CBE" w:rsidP="00F539C8">
      <w:pPr>
        <w:rPr>
          <w:rFonts w:cs="Calibri"/>
          <w:b/>
          <w:bCs/>
        </w:rPr>
      </w:pPr>
    </w:p>
    <w:p w14:paraId="04DC47BD" w14:textId="317901BE" w:rsidR="00642DED" w:rsidRDefault="008B67BF" w:rsidP="00F539C8">
      <w:pPr>
        <w:pStyle w:val="Heading2"/>
      </w:pPr>
      <w:bookmarkStart w:id="85" w:name="_Toc168477538"/>
      <w:r>
        <w:t>Advisor Policy</w:t>
      </w:r>
      <w:bookmarkEnd w:id="81"/>
      <w:bookmarkEnd w:id="82"/>
      <w:r w:rsidR="00B459D3">
        <w:t xml:space="preserve"> Violations</w:t>
      </w:r>
      <w:bookmarkEnd w:id="85"/>
    </w:p>
    <w:p w14:paraId="121F9608" w14:textId="77777777" w:rsidR="006D13F1" w:rsidRDefault="006D13F1" w:rsidP="003F298E">
      <w:pPr>
        <w:ind w:left="720"/>
      </w:pPr>
    </w:p>
    <w:p w14:paraId="0C02D66B" w14:textId="56ABA681" w:rsidR="00773E09" w:rsidRPr="00642DED" w:rsidRDefault="00773E09" w:rsidP="003F298E">
      <w:pPr>
        <w:ind w:left="720"/>
      </w:pPr>
      <w:r w:rsidRPr="00773E09">
        <w:t>Any Advisor who oversteps their role as defined by th</w:t>
      </w:r>
      <w:r w:rsidR="00EF7B59">
        <w:t>e</w:t>
      </w:r>
      <w:r w:rsidRPr="00773E09">
        <w:t xml:space="preserve"> Policy, </w:t>
      </w:r>
      <w:r w:rsidR="00CF4CBE">
        <w:t>who shares information or evidence</w:t>
      </w:r>
      <w:r w:rsidR="00D2048D">
        <w:t xml:space="preserve"> in a manner inconsistent with th</w:t>
      </w:r>
      <w:r w:rsidR="00EF7B59">
        <w:t>e</w:t>
      </w:r>
      <w:r w:rsidR="00D2048D">
        <w:t xml:space="preserve"> </w:t>
      </w:r>
      <w:r w:rsidR="00EF7B59">
        <w:t>P</w:t>
      </w:r>
      <w:r w:rsidR="00D2048D">
        <w:t>olicy,</w:t>
      </w:r>
      <w:r w:rsidR="00CF4CBE">
        <w:t xml:space="preserve"> </w:t>
      </w:r>
      <w:r w:rsidRPr="00773E09">
        <w:t xml:space="preserve">or who refuses to comply with the </w:t>
      </w:r>
      <w:r w:rsidRPr="00773E09">
        <w:rPr>
          <w:highlight w:val="lightGray"/>
        </w:rPr>
        <w:t>Recipient</w:t>
      </w:r>
      <w:r w:rsidRPr="00773E09">
        <w:t xml:space="preserve">’s established rules of decorum, will be warned. If the Advisor continues to </w:t>
      </w:r>
      <w:r w:rsidRPr="00773E09">
        <w:lastRenderedPageBreak/>
        <w:t>disrupt or otherwise fails to respect the limits of the Advisor role, the meeting/interview</w:t>
      </w:r>
      <w:r w:rsidR="00B459D3" w:rsidRPr="005E6B05">
        <w:rPr>
          <w:highlight w:val="lightGray"/>
        </w:rPr>
        <w:t>[</w:t>
      </w:r>
      <w:r w:rsidRPr="005E6B05">
        <w:rPr>
          <w:highlight w:val="lightGray"/>
        </w:rPr>
        <w:t>/hearing</w:t>
      </w:r>
      <w:r w:rsidR="00B459D3" w:rsidRPr="005E6B05">
        <w:rPr>
          <w:highlight w:val="lightGray"/>
        </w:rPr>
        <w:t>]</w:t>
      </w:r>
      <w:r w:rsidRPr="00773E09">
        <w:t xml:space="preserve"> may be ended, or other appropriate measures implemented, including the </w:t>
      </w:r>
      <w:r w:rsidRPr="00773E09">
        <w:rPr>
          <w:highlight w:val="lightGray"/>
        </w:rPr>
        <w:t>Recipient</w:t>
      </w:r>
      <w:r w:rsidRPr="00773E09">
        <w:t xml:space="preserve"> requiring the party to use a different Advisor or providing a different </w:t>
      </w:r>
      <w:r w:rsidRPr="00773E09">
        <w:rPr>
          <w:highlight w:val="lightGray"/>
        </w:rPr>
        <w:t>Recipient</w:t>
      </w:r>
      <w:r w:rsidRPr="00773E09">
        <w:t xml:space="preserve">-appointed Advisor. Subsequently, the </w:t>
      </w:r>
      <w:r w:rsidR="003F298E" w:rsidRPr="005E6B05">
        <w:rPr>
          <w:highlight w:val="lightGray"/>
        </w:rPr>
        <w:t>Administrator</w:t>
      </w:r>
      <w:r w:rsidRPr="00773E09">
        <w:t xml:space="preserve"> will determine how to address the Advisor’s non-compliance and future role.</w:t>
      </w:r>
    </w:p>
    <w:p w14:paraId="34541383" w14:textId="77777777" w:rsidR="004807D2" w:rsidRPr="004807D2" w:rsidRDefault="004807D2" w:rsidP="004807D2"/>
    <w:p w14:paraId="65B77B71" w14:textId="0FF1E929" w:rsidR="00723E71" w:rsidRDefault="008B67BF" w:rsidP="00F539C8">
      <w:pPr>
        <w:pStyle w:val="Heading1"/>
      </w:pPr>
      <w:bookmarkStart w:id="86" w:name="_Toc82511663"/>
      <w:bookmarkStart w:id="87" w:name="_Toc102393985"/>
      <w:bookmarkStart w:id="88" w:name="_Toc168477539"/>
      <w:r>
        <w:t xml:space="preserve">Resolution </w:t>
      </w:r>
      <w:bookmarkEnd w:id="86"/>
      <w:bookmarkEnd w:id="87"/>
      <w:r w:rsidR="002453A8">
        <w:t>Option</w:t>
      </w:r>
      <w:r w:rsidR="0031478B">
        <w:t xml:space="preserve"> Overview</w:t>
      </w:r>
      <w:bookmarkEnd w:id="88"/>
    </w:p>
    <w:p w14:paraId="1E7B12F2" w14:textId="77777777" w:rsidR="001D2C1D" w:rsidRDefault="001D2C1D" w:rsidP="00EE447B"/>
    <w:p w14:paraId="09D028C7" w14:textId="586BC52B" w:rsidR="00EE447B" w:rsidRDefault="00723E71" w:rsidP="00EE447B">
      <w:r>
        <w:t>Th</w:t>
      </w:r>
      <w:r w:rsidR="001D2C1D">
        <w:t>is</w:t>
      </w:r>
      <w:r>
        <w:t xml:space="preserve"> </w:t>
      </w:r>
      <w:r w:rsidR="001D2C1D">
        <w:t>Resolution Process, consisting of Informal Resolution</w:t>
      </w:r>
      <w:r w:rsidR="00EF7B59">
        <w:t xml:space="preserve"> </w:t>
      </w:r>
      <w:proofErr w:type="gramStart"/>
      <w:r w:rsidR="00EF7B59" w:rsidRPr="00ED3CAB">
        <w:rPr>
          <w:highlight w:val="lightGray"/>
        </w:rPr>
        <w:t>[,or</w:t>
      </w:r>
      <w:proofErr w:type="gramEnd"/>
      <w:r w:rsidR="00EF7B59" w:rsidRPr="00ED3CAB">
        <w:rPr>
          <w:highlight w:val="lightGray"/>
        </w:rPr>
        <w:t>]</w:t>
      </w:r>
      <w:r w:rsidR="00EF7B59">
        <w:t xml:space="preserve"> </w:t>
      </w:r>
      <w:r w:rsidR="001D2C1D">
        <w:t>Administrative Resolution</w:t>
      </w:r>
      <w:r w:rsidR="00EF7B59">
        <w:t xml:space="preserve"> </w:t>
      </w:r>
      <w:r w:rsidR="00EF7B59" w:rsidRPr="00ED3CAB">
        <w:rPr>
          <w:highlight w:val="lightGray"/>
        </w:rPr>
        <w:t>[</w:t>
      </w:r>
      <w:r w:rsidR="001D2C1D" w:rsidRPr="00ED3CAB">
        <w:rPr>
          <w:highlight w:val="lightGray"/>
        </w:rPr>
        <w:t>,or Hearing Resolution</w:t>
      </w:r>
      <w:r w:rsidR="00EF7B59" w:rsidRPr="00ED3CAB">
        <w:rPr>
          <w:highlight w:val="lightGray"/>
        </w:rPr>
        <w:t>]</w:t>
      </w:r>
      <w:r w:rsidR="001D2C1D">
        <w:t>,</w:t>
      </w:r>
      <w:r>
        <w:t xml:space="preserve"> is the </w:t>
      </w:r>
      <w:r w:rsidRPr="00723E71">
        <w:rPr>
          <w:highlight w:val="lightGray"/>
        </w:rPr>
        <w:t>Recipient</w:t>
      </w:r>
      <w:r>
        <w:t xml:space="preserve">’s </w:t>
      </w:r>
      <w:r w:rsidR="007C152D">
        <w:t xml:space="preserve">chosen </w:t>
      </w:r>
      <w:r>
        <w:t xml:space="preserve">approach </w:t>
      </w:r>
      <w:r w:rsidR="007C152D">
        <w:t xml:space="preserve">to </w:t>
      </w:r>
      <w:proofErr w:type="gramStart"/>
      <w:r w:rsidR="007C152D">
        <w:t>address</w:t>
      </w:r>
      <w:r w:rsidR="00523069">
        <w:t>ing</w:t>
      </w:r>
      <w:proofErr w:type="gramEnd"/>
      <w:r w:rsidR="007C152D">
        <w:t xml:space="preserve"> </w:t>
      </w:r>
      <w:r w:rsidR="001D2C1D">
        <w:t xml:space="preserve">all forms of discrimination on the basis of protected </w:t>
      </w:r>
      <w:r w:rsidR="00EF7B59">
        <w:t>characteristics</w:t>
      </w:r>
      <w:r w:rsidR="002453A8">
        <w:t>, harassment, and retaliation</w:t>
      </w:r>
      <w:r>
        <w:t>.</w:t>
      </w:r>
      <w:r w:rsidR="00EE447B">
        <w:t xml:space="preserve"> The process considers the </w:t>
      </w:r>
      <w:r w:rsidR="0028631C">
        <w:t>Parties</w:t>
      </w:r>
      <w:r w:rsidR="00EE447B">
        <w:t xml:space="preserve">’ preferences but is ultimately determined at the </w:t>
      </w:r>
      <w:r w:rsidR="00EE447B" w:rsidRPr="00E32317">
        <w:rPr>
          <w:highlight w:val="lightGray"/>
        </w:rPr>
        <w:t>Administrator</w:t>
      </w:r>
      <w:r w:rsidR="00EE447B">
        <w:t>’s discretion.</w:t>
      </w:r>
      <w:r w:rsidR="00BA0EF8">
        <w:t xml:space="preserve"> </w:t>
      </w:r>
    </w:p>
    <w:p w14:paraId="33599A24" w14:textId="77777777" w:rsidR="00405B97" w:rsidRDefault="00405B97" w:rsidP="00EE447B"/>
    <w:p w14:paraId="50A62586" w14:textId="1458CB69" w:rsidR="00405B97" w:rsidRDefault="00405B97" w:rsidP="00F539C8">
      <w:r w:rsidRPr="002961F9">
        <w:t xml:space="preserve">Resolution proceedings are </w:t>
      </w:r>
      <w:r w:rsidR="00BA0EF8">
        <w:t>confidential</w:t>
      </w:r>
      <w:r w:rsidRPr="002961F9">
        <w:t xml:space="preserve">. All </w:t>
      </w:r>
      <w:r>
        <w:t>individuals</w:t>
      </w:r>
      <w:r w:rsidRPr="002961F9">
        <w:t xml:space="preserve"> present at any time during the Resolution Process are expected to maintain the </w:t>
      </w:r>
      <w:r w:rsidR="00BA0EF8">
        <w:t>confidentiality</w:t>
      </w:r>
      <w:r w:rsidR="00BA0EF8" w:rsidRPr="002961F9">
        <w:t xml:space="preserve"> </w:t>
      </w:r>
      <w:r w:rsidRPr="002961F9">
        <w:t xml:space="preserve">of the proceedings in accordance with </w:t>
      </w:r>
      <w:r w:rsidRPr="00ED3CAB">
        <w:rPr>
          <w:highlight w:val="lightGray"/>
        </w:rPr>
        <w:t>Recipient</w:t>
      </w:r>
      <w:r w:rsidRPr="002961F9">
        <w:t xml:space="preserve"> Policy.</w:t>
      </w:r>
    </w:p>
    <w:p w14:paraId="0D3B2CB7" w14:textId="77777777" w:rsidR="00723E71" w:rsidRPr="00723E71" w:rsidRDefault="00723E71" w:rsidP="00723E71"/>
    <w:p w14:paraId="172E56ED" w14:textId="2D0D8B12" w:rsidR="008B67BF" w:rsidRDefault="008B67BF" w:rsidP="00723E71">
      <w:pPr>
        <w:pStyle w:val="Heading2"/>
      </w:pPr>
      <w:bookmarkStart w:id="89" w:name="_Informal_Resolution"/>
      <w:bookmarkStart w:id="90" w:name="_Toc82511664"/>
      <w:bookmarkStart w:id="91" w:name="_Toc102393986"/>
      <w:bookmarkStart w:id="92" w:name="_Toc168477540"/>
      <w:bookmarkEnd w:id="89"/>
      <w:r>
        <w:t>Informal Resolution</w:t>
      </w:r>
      <w:bookmarkEnd w:id="90"/>
      <w:bookmarkEnd w:id="91"/>
      <w:bookmarkEnd w:id="92"/>
    </w:p>
    <w:p w14:paraId="5694FD8D" w14:textId="749C4DEB" w:rsidR="00723E71" w:rsidRDefault="00723E71" w:rsidP="00723E71">
      <w:pPr>
        <w:rPr>
          <w:rFonts w:cs="Calibri"/>
          <w:b/>
          <w:bCs/>
        </w:rPr>
      </w:pPr>
    </w:p>
    <w:p w14:paraId="71FAD910" w14:textId="5EA33045" w:rsidR="00290AB3" w:rsidRPr="00ED3CAB" w:rsidRDefault="00CD0D66" w:rsidP="00CD0D66">
      <w:pPr>
        <w:ind w:left="720"/>
        <w:rPr>
          <w:rFonts w:asciiTheme="minorHAnsi" w:hAnsiTheme="minorHAnsi" w:cstheme="minorHAnsi"/>
        </w:rPr>
      </w:pPr>
      <w:r w:rsidRPr="00723E71">
        <w:rPr>
          <w:rFonts w:cs="Calibri"/>
        </w:rPr>
        <w:t xml:space="preserve">To initiate Informal Resolution, a Complainant </w:t>
      </w:r>
      <w:r>
        <w:rPr>
          <w:rFonts w:cs="Calibri"/>
        </w:rPr>
        <w:t xml:space="preserve">or Respondent </w:t>
      </w:r>
      <w:r w:rsidRPr="00723E71">
        <w:rPr>
          <w:rFonts w:cs="Calibri"/>
        </w:rPr>
        <w:t>m</w:t>
      </w:r>
      <w:r>
        <w:rPr>
          <w:rFonts w:cs="Calibri"/>
        </w:rPr>
        <w:t>ay</w:t>
      </w:r>
      <w:r w:rsidRPr="00723E71">
        <w:rPr>
          <w:rFonts w:cs="Calibri"/>
        </w:rPr>
        <w:t xml:space="preserve"> </w:t>
      </w:r>
      <w:r>
        <w:rPr>
          <w:rFonts w:cs="Calibri"/>
        </w:rPr>
        <w:t xml:space="preserve">make such a request to the </w:t>
      </w:r>
      <w:r w:rsidRPr="00C63114">
        <w:rPr>
          <w:rFonts w:cs="Calibri"/>
          <w:highlight w:val="lightGray"/>
        </w:rPr>
        <w:t>Administrator</w:t>
      </w:r>
      <w:r>
        <w:rPr>
          <w:rFonts w:cs="Calibri"/>
        </w:rPr>
        <w:t xml:space="preserve"> at any time prior to a final determination</w:t>
      </w:r>
      <w:r w:rsidR="00C74BC7">
        <w:rPr>
          <w:rFonts w:cs="Calibri"/>
        </w:rPr>
        <w:t xml:space="preserve">, or the </w:t>
      </w:r>
      <w:r w:rsidR="00C74BC7" w:rsidRPr="00ED3CAB">
        <w:rPr>
          <w:rFonts w:cs="Calibri"/>
          <w:highlight w:val="lightGray"/>
        </w:rPr>
        <w:t>Administrator</w:t>
      </w:r>
      <w:r w:rsidR="00C74BC7">
        <w:rPr>
          <w:rFonts w:cs="Calibri"/>
        </w:rPr>
        <w:t xml:space="preserve"> may offer the option to the Parties</w:t>
      </w:r>
      <w:r w:rsidR="00813AA6">
        <w:rPr>
          <w:rFonts w:cs="Calibri"/>
        </w:rPr>
        <w:t>, in writing</w:t>
      </w:r>
      <w:r>
        <w:rPr>
          <w:rFonts w:cs="Calibri"/>
        </w:rPr>
        <w:t xml:space="preserve">. The </w:t>
      </w:r>
      <w:r w:rsidRPr="00ED3CAB">
        <w:rPr>
          <w:rFonts w:cs="Calibri"/>
          <w:highlight w:val="lightGray"/>
        </w:rPr>
        <w:t>Recipient</w:t>
      </w:r>
      <w:r>
        <w:rPr>
          <w:rFonts w:cs="Calibri"/>
        </w:rPr>
        <w:t xml:space="preserve"> will obtain voluntary, written confirmation that all </w:t>
      </w:r>
      <w:r w:rsidR="0028631C">
        <w:rPr>
          <w:rFonts w:cs="Calibri"/>
        </w:rPr>
        <w:t>Parties</w:t>
      </w:r>
      <w:r>
        <w:rPr>
          <w:rFonts w:cs="Calibri"/>
        </w:rPr>
        <w:t xml:space="preserve"> wish to resolve the matter through Informal Resolution before proceeding and will not pressure the </w:t>
      </w:r>
      <w:r w:rsidR="0028631C">
        <w:rPr>
          <w:rFonts w:cs="Calibri"/>
        </w:rPr>
        <w:t>Parties</w:t>
      </w:r>
      <w:r>
        <w:rPr>
          <w:rFonts w:cs="Calibri"/>
        </w:rPr>
        <w:t xml:space="preserve"> to participate in Informal Resolution. </w:t>
      </w:r>
    </w:p>
    <w:p w14:paraId="113792F3" w14:textId="77777777" w:rsidR="002E778E" w:rsidRDefault="002E778E" w:rsidP="002E778E">
      <w:pPr>
        <w:autoSpaceDE w:val="0"/>
        <w:autoSpaceDN w:val="0"/>
        <w:adjustRightInd w:val="0"/>
        <w:rPr>
          <w:rFonts w:asciiTheme="minorHAnsi" w:eastAsiaTheme="minorHAnsi" w:hAnsiTheme="minorHAnsi" w:cstheme="minorHAnsi"/>
        </w:rPr>
      </w:pPr>
    </w:p>
    <w:p w14:paraId="14FDA6BA" w14:textId="3977DDCF" w:rsidR="002E778E" w:rsidRDefault="002E778E" w:rsidP="002E778E">
      <w:pPr>
        <w:autoSpaceDE w:val="0"/>
        <w:autoSpaceDN w:val="0"/>
        <w:adjustRightInd w:val="0"/>
        <w:ind w:left="720"/>
        <w:rPr>
          <w:rFonts w:asciiTheme="minorHAnsi" w:eastAsiaTheme="minorHAnsi" w:hAnsiTheme="minorHAnsi" w:cstheme="minorHAnsi"/>
        </w:rPr>
      </w:pPr>
      <w:r w:rsidRPr="00ED3CAB">
        <w:rPr>
          <w:rFonts w:asciiTheme="minorHAnsi" w:eastAsiaTheme="minorHAnsi" w:hAnsiTheme="minorHAnsi" w:cstheme="minorHAnsi"/>
        </w:rPr>
        <w:t xml:space="preserve">Before initiation of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process, </w:t>
      </w:r>
      <w:proofErr w:type="gramStart"/>
      <w:r w:rsidRPr="00ED3CAB">
        <w:rPr>
          <w:rFonts w:asciiTheme="minorHAnsi" w:eastAsiaTheme="minorHAnsi" w:hAnsiTheme="minorHAnsi" w:cstheme="minorHAnsi"/>
          <w:highlight w:val="lightGray"/>
        </w:rPr>
        <w:t>Recipient</w:t>
      </w:r>
      <w:proofErr w:type="gramEnd"/>
      <w:r w:rsidRPr="00ED3CAB">
        <w:rPr>
          <w:rFonts w:asciiTheme="minorHAnsi" w:eastAsiaTheme="minorHAnsi" w:hAnsiTheme="minorHAnsi" w:cstheme="minorHAnsi"/>
        </w:rPr>
        <w:t xml:space="preserve"> </w:t>
      </w:r>
      <w:r>
        <w:rPr>
          <w:rFonts w:asciiTheme="minorHAnsi" w:eastAsiaTheme="minorHAnsi" w:hAnsiTheme="minorHAnsi" w:cstheme="minorHAnsi"/>
        </w:rPr>
        <w:t>will</w:t>
      </w:r>
      <w:r w:rsidRPr="00ED3CAB">
        <w:rPr>
          <w:rFonts w:asciiTheme="minorHAnsi" w:eastAsiaTheme="minorHAnsi" w:hAnsiTheme="minorHAnsi" w:cstheme="minorHAnsi"/>
        </w:rPr>
        <w:t xml:space="preserve"> provide the </w:t>
      </w:r>
      <w:r>
        <w:rPr>
          <w:rFonts w:asciiTheme="minorHAnsi" w:eastAsiaTheme="minorHAnsi" w:hAnsiTheme="minorHAnsi" w:cstheme="minorHAnsi"/>
        </w:rPr>
        <w:t>P</w:t>
      </w:r>
      <w:r w:rsidRPr="00ED3CAB">
        <w:rPr>
          <w:rFonts w:asciiTheme="minorHAnsi" w:eastAsiaTheme="minorHAnsi" w:hAnsiTheme="minorHAnsi" w:cstheme="minorHAnsi"/>
        </w:rPr>
        <w:t xml:space="preserve">arties </w:t>
      </w:r>
      <w:r w:rsidR="000C1AE2">
        <w:rPr>
          <w:rFonts w:asciiTheme="minorHAnsi" w:eastAsiaTheme="minorHAnsi" w:hAnsiTheme="minorHAnsi" w:cstheme="minorHAnsi"/>
        </w:rPr>
        <w:t xml:space="preserve">with </w:t>
      </w:r>
      <w:r w:rsidR="00BD18A8">
        <w:rPr>
          <w:rFonts w:asciiTheme="minorHAnsi" w:eastAsiaTheme="minorHAnsi" w:hAnsiTheme="minorHAnsi" w:cstheme="minorHAnsi"/>
        </w:rPr>
        <w:t>a NOIA</w:t>
      </w:r>
      <w:r w:rsidRPr="00ED3CAB">
        <w:rPr>
          <w:rFonts w:asciiTheme="minorHAnsi" w:eastAsiaTheme="minorHAnsi" w:hAnsiTheme="minorHAnsi" w:cstheme="minorHAnsi"/>
        </w:rPr>
        <w:t xml:space="preserve"> that explains: </w:t>
      </w:r>
    </w:p>
    <w:p w14:paraId="0D881389" w14:textId="77777777" w:rsidR="002E778E"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The </w:t>
      </w:r>
      <w:proofErr w:type="gramStart"/>
      <w:r w:rsidRPr="00ED3CAB">
        <w:rPr>
          <w:rFonts w:asciiTheme="minorHAnsi" w:eastAsiaTheme="minorHAnsi" w:hAnsiTheme="minorHAnsi" w:cstheme="minorHAnsi"/>
        </w:rPr>
        <w:t>allegations;</w:t>
      </w:r>
      <w:proofErr w:type="gramEnd"/>
      <w:r w:rsidRPr="00ED3CAB">
        <w:rPr>
          <w:rFonts w:asciiTheme="minorHAnsi" w:eastAsiaTheme="minorHAnsi" w:hAnsiTheme="minorHAnsi" w:cstheme="minorHAnsi"/>
        </w:rPr>
        <w:t> </w:t>
      </w:r>
    </w:p>
    <w:p w14:paraId="30B052EA" w14:textId="696BDD40" w:rsidR="002E778E"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The requirements of the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w:t>
      </w:r>
      <w:proofErr w:type="gramStart"/>
      <w:r w:rsidRPr="00ED3CAB">
        <w:rPr>
          <w:rFonts w:asciiTheme="minorHAnsi" w:eastAsiaTheme="minorHAnsi" w:hAnsiTheme="minorHAnsi" w:cstheme="minorHAnsi"/>
        </w:rPr>
        <w:t>process;</w:t>
      </w:r>
      <w:proofErr w:type="gramEnd"/>
    </w:p>
    <w:p w14:paraId="21C138F1" w14:textId="383C5AD2" w:rsidR="002E778E"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That, prior to agreeing to a resolution, any party has the right to withdraw from the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process and to initiate or resume the </w:t>
      </w:r>
      <w:r w:rsidRPr="00ED3CAB">
        <w:rPr>
          <w:rFonts w:asciiTheme="minorHAnsi" w:eastAsiaTheme="minorHAnsi" w:hAnsiTheme="minorHAnsi" w:cstheme="minorHAnsi"/>
          <w:highlight w:val="lightGray"/>
        </w:rPr>
        <w:t>Recipient</w:t>
      </w:r>
      <w:r w:rsidRPr="00ED3CAB">
        <w:rPr>
          <w:rFonts w:asciiTheme="minorHAnsi" w:eastAsiaTheme="minorHAnsi" w:hAnsiTheme="minorHAnsi" w:cstheme="minorHAnsi"/>
        </w:rPr>
        <w:t xml:space="preserve">’s </w:t>
      </w:r>
      <w:r w:rsidR="00040572">
        <w:rPr>
          <w:rFonts w:asciiTheme="minorHAnsi" w:eastAsiaTheme="minorHAnsi" w:hAnsiTheme="minorHAnsi" w:cstheme="minorHAnsi"/>
        </w:rPr>
        <w:t xml:space="preserve">Resolution </w:t>
      </w:r>
      <w:proofErr w:type="gramStart"/>
      <w:r w:rsidR="00040572">
        <w:rPr>
          <w:rFonts w:asciiTheme="minorHAnsi" w:eastAsiaTheme="minorHAnsi" w:hAnsiTheme="minorHAnsi" w:cstheme="minorHAnsi"/>
        </w:rPr>
        <w:t>Process</w:t>
      </w:r>
      <w:r w:rsidRPr="00ED3CAB">
        <w:rPr>
          <w:rFonts w:asciiTheme="minorHAnsi" w:eastAsiaTheme="minorHAnsi" w:hAnsiTheme="minorHAnsi" w:cstheme="minorHAnsi"/>
        </w:rPr>
        <w:t>;</w:t>
      </w:r>
      <w:proofErr w:type="gramEnd"/>
      <w:r w:rsidRPr="00ED3CAB">
        <w:rPr>
          <w:rFonts w:asciiTheme="minorHAnsi" w:eastAsiaTheme="minorHAnsi" w:hAnsiTheme="minorHAnsi" w:cstheme="minorHAnsi"/>
        </w:rPr>
        <w:t> </w:t>
      </w:r>
    </w:p>
    <w:p w14:paraId="4AB94C14" w14:textId="52B0FE9A" w:rsidR="002E778E"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That the </w:t>
      </w:r>
      <w:r>
        <w:rPr>
          <w:rFonts w:asciiTheme="minorHAnsi" w:eastAsiaTheme="minorHAnsi" w:hAnsiTheme="minorHAnsi" w:cstheme="minorHAnsi"/>
        </w:rPr>
        <w:t>P</w:t>
      </w:r>
      <w:r w:rsidRPr="00ED3CAB">
        <w:rPr>
          <w:rFonts w:asciiTheme="minorHAnsi" w:eastAsiaTheme="minorHAnsi" w:hAnsiTheme="minorHAnsi" w:cstheme="minorHAnsi"/>
        </w:rPr>
        <w:t xml:space="preserve">arties’ agreement to a resolution at the conclusion of the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process </w:t>
      </w:r>
      <w:r>
        <w:rPr>
          <w:rFonts w:asciiTheme="minorHAnsi" w:eastAsiaTheme="minorHAnsi" w:hAnsiTheme="minorHAnsi" w:cstheme="minorHAnsi"/>
        </w:rPr>
        <w:t>will</w:t>
      </w:r>
      <w:r w:rsidRPr="00ED3CAB">
        <w:rPr>
          <w:rFonts w:asciiTheme="minorHAnsi" w:eastAsiaTheme="minorHAnsi" w:hAnsiTheme="minorHAnsi" w:cstheme="minorHAnsi"/>
        </w:rPr>
        <w:t xml:space="preserve"> preclude the </w:t>
      </w:r>
      <w:r w:rsidR="0028631C">
        <w:rPr>
          <w:rFonts w:asciiTheme="minorHAnsi" w:eastAsiaTheme="minorHAnsi" w:hAnsiTheme="minorHAnsi" w:cstheme="minorHAnsi"/>
        </w:rPr>
        <w:t>Parties</w:t>
      </w:r>
      <w:r w:rsidRPr="00ED3CAB">
        <w:rPr>
          <w:rFonts w:asciiTheme="minorHAnsi" w:eastAsiaTheme="minorHAnsi" w:hAnsiTheme="minorHAnsi" w:cstheme="minorHAnsi"/>
        </w:rPr>
        <w:t xml:space="preserve"> from initiating or resuming </w:t>
      </w:r>
      <w:r w:rsidR="00150170">
        <w:rPr>
          <w:rFonts w:asciiTheme="minorHAnsi" w:eastAsiaTheme="minorHAnsi" w:hAnsiTheme="minorHAnsi" w:cstheme="minorHAnsi"/>
        </w:rPr>
        <w:t xml:space="preserve">the resolution </w:t>
      </w:r>
      <w:r w:rsidRPr="00ED3CAB">
        <w:rPr>
          <w:rFonts w:asciiTheme="minorHAnsi" w:eastAsiaTheme="minorHAnsi" w:hAnsiTheme="minorHAnsi" w:cstheme="minorHAnsi"/>
        </w:rPr>
        <w:t>proce</w:t>
      </w:r>
      <w:r w:rsidR="00150170">
        <w:rPr>
          <w:rFonts w:asciiTheme="minorHAnsi" w:eastAsiaTheme="minorHAnsi" w:hAnsiTheme="minorHAnsi" w:cstheme="minorHAnsi"/>
        </w:rPr>
        <w:t>ss</w:t>
      </w:r>
      <w:r w:rsidRPr="00ED3CAB">
        <w:rPr>
          <w:rFonts w:asciiTheme="minorHAnsi" w:eastAsiaTheme="minorHAnsi" w:hAnsiTheme="minorHAnsi" w:cstheme="minorHAnsi"/>
        </w:rPr>
        <w:t xml:space="preserve"> arising from the same </w:t>
      </w:r>
      <w:proofErr w:type="gramStart"/>
      <w:r w:rsidRPr="00ED3CAB">
        <w:rPr>
          <w:rFonts w:asciiTheme="minorHAnsi" w:eastAsiaTheme="minorHAnsi" w:hAnsiTheme="minorHAnsi" w:cstheme="minorHAnsi"/>
        </w:rPr>
        <w:t>allegations;</w:t>
      </w:r>
      <w:proofErr w:type="gramEnd"/>
    </w:p>
    <w:p w14:paraId="64799A8D" w14:textId="5A7D0336" w:rsidR="002E778E"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The potential terms that may be requested or offered in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agreement, </w:t>
      </w:r>
      <w:proofErr w:type="gramStart"/>
      <w:r w:rsidRPr="00ED3CAB">
        <w:rPr>
          <w:rFonts w:asciiTheme="minorHAnsi" w:eastAsiaTheme="minorHAnsi" w:hAnsiTheme="minorHAnsi" w:cstheme="minorHAnsi"/>
        </w:rPr>
        <w:t>including</w:t>
      </w:r>
      <w:proofErr w:type="gramEnd"/>
      <w:r w:rsidRPr="00ED3CAB">
        <w:rPr>
          <w:rFonts w:asciiTheme="minorHAnsi" w:eastAsiaTheme="minorHAnsi" w:hAnsiTheme="minorHAnsi" w:cstheme="minorHAnsi"/>
        </w:rPr>
        <w:t xml:space="preserve"> noti</w:t>
      </w:r>
      <w:r w:rsidR="00BD18A8">
        <w:rPr>
          <w:rFonts w:asciiTheme="minorHAnsi" w:eastAsiaTheme="minorHAnsi" w:hAnsiTheme="minorHAnsi" w:cstheme="minorHAnsi"/>
        </w:rPr>
        <w:t>fication</w:t>
      </w:r>
      <w:r w:rsidRPr="00ED3CAB">
        <w:rPr>
          <w:rFonts w:asciiTheme="minorHAnsi" w:eastAsiaTheme="minorHAnsi" w:hAnsiTheme="minorHAnsi" w:cstheme="minorHAnsi"/>
        </w:rPr>
        <w:t xml:space="preserve"> that an </w:t>
      </w:r>
      <w:r w:rsidR="00844750">
        <w:rPr>
          <w:rFonts w:asciiTheme="minorHAnsi" w:eastAsiaTheme="minorHAnsi" w:hAnsiTheme="minorHAnsi" w:cstheme="minorHAnsi"/>
        </w:rPr>
        <w:t>I</w:t>
      </w:r>
      <w:r w:rsidRPr="00ED3CAB">
        <w:rPr>
          <w:rFonts w:asciiTheme="minorHAnsi" w:eastAsiaTheme="minorHAnsi" w:hAnsiTheme="minorHAnsi" w:cstheme="minorHAnsi"/>
        </w:rPr>
        <w:t xml:space="preserve">nformal </w:t>
      </w:r>
      <w:r w:rsidR="00844750">
        <w:rPr>
          <w:rFonts w:asciiTheme="minorHAnsi" w:eastAsiaTheme="minorHAnsi" w:hAnsiTheme="minorHAnsi" w:cstheme="minorHAnsi"/>
        </w:rPr>
        <w:t>R</w:t>
      </w:r>
      <w:r w:rsidRPr="00ED3CAB">
        <w:rPr>
          <w:rFonts w:asciiTheme="minorHAnsi" w:eastAsiaTheme="minorHAnsi" w:hAnsiTheme="minorHAnsi" w:cstheme="minorHAnsi"/>
        </w:rPr>
        <w:t xml:space="preserve">esolution agreement is binding only on the </w:t>
      </w:r>
      <w:r>
        <w:rPr>
          <w:rFonts w:asciiTheme="minorHAnsi" w:eastAsiaTheme="minorHAnsi" w:hAnsiTheme="minorHAnsi" w:cstheme="minorHAnsi"/>
        </w:rPr>
        <w:t>P</w:t>
      </w:r>
      <w:r w:rsidRPr="00ED3CAB">
        <w:rPr>
          <w:rFonts w:asciiTheme="minorHAnsi" w:eastAsiaTheme="minorHAnsi" w:hAnsiTheme="minorHAnsi" w:cstheme="minorHAnsi"/>
        </w:rPr>
        <w:t>arties; and</w:t>
      </w:r>
    </w:p>
    <w:p w14:paraId="5C8114EE" w14:textId="20C0BF67" w:rsidR="002E778E" w:rsidRPr="00ED3CAB" w:rsidRDefault="002E778E" w:rsidP="005521DD">
      <w:pPr>
        <w:pStyle w:val="ListParagraph"/>
        <w:numPr>
          <w:ilvl w:val="0"/>
          <w:numId w:val="47"/>
        </w:numPr>
        <w:autoSpaceDE w:val="0"/>
        <w:autoSpaceDN w:val="0"/>
        <w:adjustRightInd w:val="0"/>
        <w:rPr>
          <w:rFonts w:asciiTheme="minorHAnsi" w:eastAsiaTheme="minorHAnsi" w:hAnsiTheme="minorHAnsi" w:cstheme="minorHAnsi"/>
        </w:rPr>
      </w:pPr>
      <w:r w:rsidRPr="00ED3CAB">
        <w:rPr>
          <w:rFonts w:asciiTheme="minorHAnsi" w:eastAsiaTheme="minorHAnsi" w:hAnsiTheme="minorHAnsi" w:cstheme="minorHAnsi"/>
        </w:rPr>
        <w:t xml:space="preserve">What information </w:t>
      </w:r>
      <w:proofErr w:type="gramStart"/>
      <w:r w:rsidRPr="00ED3CAB">
        <w:rPr>
          <w:rFonts w:asciiTheme="minorHAnsi" w:eastAsiaTheme="minorHAnsi" w:hAnsiTheme="minorHAnsi" w:cstheme="minorHAnsi"/>
        </w:rPr>
        <w:t xml:space="preserve">the </w:t>
      </w:r>
      <w:r w:rsidRPr="00ED3CAB">
        <w:rPr>
          <w:rFonts w:asciiTheme="minorHAnsi" w:eastAsiaTheme="minorHAnsi" w:hAnsiTheme="minorHAnsi" w:cstheme="minorHAnsi"/>
          <w:highlight w:val="lightGray"/>
        </w:rPr>
        <w:t>Recipient</w:t>
      </w:r>
      <w:r w:rsidRPr="00ED3CAB">
        <w:rPr>
          <w:rFonts w:asciiTheme="minorHAnsi" w:eastAsiaTheme="minorHAnsi" w:hAnsiTheme="minorHAnsi" w:cstheme="minorHAnsi"/>
        </w:rPr>
        <w:t xml:space="preserve"> will</w:t>
      </w:r>
      <w:proofErr w:type="gramEnd"/>
      <w:r w:rsidRPr="00ED3CAB">
        <w:rPr>
          <w:rFonts w:asciiTheme="minorHAnsi" w:eastAsiaTheme="minorHAnsi" w:hAnsiTheme="minorHAnsi" w:cstheme="minorHAnsi"/>
        </w:rPr>
        <w:t xml:space="preserve"> maintain</w:t>
      </w:r>
      <w:r w:rsidR="00A74447">
        <w:rPr>
          <w:rFonts w:asciiTheme="minorHAnsi" w:eastAsiaTheme="minorHAnsi" w:hAnsiTheme="minorHAnsi" w:cstheme="minorHAnsi"/>
        </w:rPr>
        <w:t>,</w:t>
      </w:r>
      <w:r w:rsidRPr="00ED3CAB">
        <w:rPr>
          <w:rFonts w:asciiTheme="minorHAnsi" w:eastAsiaTheme="minorHAnsi" w:hAnsiTheme="minorHAnsi" w:cstheme="minorHAnsi"/>
        </w:rPr>
        <w:t xml:space="preserve"> and whether and how </w:t>
      </w:r>
      <w:r>
        <w:rPr>
          <w:rFonts w:asciiTheme="minorHAnsi" w:eastAsiaTheme="minorHAnsi" w:hAnsiTheme="minorHAnsi" w:cstheme="minorHAnsi"/>
        </w:rPr>
        <w:t xml:space="preserve">it </w:t>
      </w:r>
      <w:r w:rsidRPr="00ED3CAB">
        <w:rPr>
          <w:rFonts w:asciiTheme="minorHAnsi" w:eastAsiaTheme="minorHAnsi" w:hAnsiTheme="minorHAnsi" w:cstheme="minorHAnsi"/>
        </w:rPr>
        <w:t>could disclose such information for use in</w:t>
      </w:r>
      <w:r>
        <w:rPr>
          <w:rFonts w:asciiTheme="minorHAnsi" w:eastAsiaTheme="minorHAnsi" w:hAnsiTheme="minorHAnsi" w:cstheme="minorHAnsi"/>
        </w:rPr>
        <w:t xml:space="preserve"> its</w:t>
      </w:r>
      <w:r w:rsidRPr="00ED3CAB">
        <w:rPr>
          <w:rFonts w:asciiTheme="minorHAnsi" w:eastAsiaTheme="minorHAnsi" w:hAnsiTheme="minorHAnsi" w:cstheme="minorHAnsi"/>
        </w:rPr>
        <w:t xml:space="preserve"> </w:t>
      </w:r>
      <w:r w:rsidR="00040572">
        <w:rPr>
          <w:rFonts w:asciiTheme="minorHAnsi" w:eastAsiaTheme="minorHAnsi" w:hAnsiTheme="minorHAnsi" w:cstheme="minorHAnsi"/>
        </w:rPr>
        <w:t>Resolution Process</w:t>
      </w:r>
      <w:r>
        <w:rPr>
          <w:rFonts w:asciiTheme="minorHAnsi" w:eastAsiaTheme="minorHAnsi" w:hAnsiTheme="minorHAnsi" w:cstheme="minorHAnsi"/>
        </w:rPr>
        <w:t>.</w:t>
      </w:r>
    </w:p>
    <w:p w14:paraId="3777BB7E" w14:textId="77777777" w:rsidR="00A81AC9" w:rsidRDefault="00A81AC9" w:rsidP="00723E71">
      <w:pPr>
        <w:ind w:left="720"/>
        <w:rPr>
          <w:rFonts w:cs="Calibri"/>
          <w:highlight w:val="lightGray"/>
        </w:rPr>
      </w:pPr>
    </w:p>
    <w:p w14:paraId="0FA5F837" w14:textId="181B31E1" w:rsidR="00723E71" w:rsidRPr="00723E71" w:rsidRDefault="00EE447B" w:rsidP="00723E71">
      <w:pPr>
        <w:ind w:left="720"/>
        <w:rPr>
          <w:rFonts w:cs="Calibri"/>
        </w:rPr>
      </w:pPr>
      <w:r w:rsidRPr="00EE447B">
        <w:rPr>
          <w:rFonts w:cs="Calibri"/>
          <w:highlight w:val="lightGray"/>
        </w:rPr>
        <w:lastRenderedPageBreak/>
        <w:t>Recipient</w:t>
      </w:r>
      <w:r>
        <w:rPr>
          <w:rFonts w:cs="Calibri"/>
        </w:rPr>
        <w:t xml:space="preserve"> offers four categories of</w:t>
      </w:r>
      <w:r w:rsidR="00723E71" w:rsidRPr="00723E71">
        <w:rPr>
          <w:rFonts w:cs="Calibri"/>
        </w:rPr>
        <w:t xml:space="preserve"> Informal Resolution</w:t>
      </w:r>
      <w:r>
        <w:rPr>
          <w:rFonts w:cs="Calibri"/>
        </w:rPr>
        <w:t>:</w:t>
      </w:r>
    </w:p>
    <w:p w14:paraId="6D301A3D" w14:textId="77777777" w:rsidR="00723E71" w:rsidRPr="00723E71" w:rsidRDefault="00723E71" w:rsidP="00723E71">
      <w:pPr>
        <w:ind w:left="720"/>
        <w:rPr>
          <w:rFonts w:cs="Calibri"/>
        </w:rPr>
      </w:pPr>
    </w:p>
    <w:p w14:paraId="101F0176" w14:textId="7D753398" w:rsidR="00EE447B" w:rsidRDefault="00723E71" w:rsidP="005521DD">
      <w:pPr>
        <w:pStyle w:val="ListParagraph"/>
        <w:numPr>
          <w:ilvl w:val="0"/>
          <w:numId w:val="18"/>
        </w:numPr>
        <w:rPr>
          <w:rFonts w:cs="Calibri"/>
        </w:rPr>
      </w:pPr>
      <w:r w:rsidRPr="00723E71">
        <w:rPr>
          <w:rFonts w:cs="Calibri"/>
          <w:b/>
          <w:bCs/>
        </w:rPr>
        <w:t>Supportive Resolution</w:t>
      </w:r>
      <w:r w:rsidRPr="00723E71">
        <w:rPr>
          <w:rFonts w:cs="Calibri"/>
        </w:rPr>
        <w:t xml:space="preserve">. When the </w:t>
      </w:r>
      <w:r w:rsidR="00EE447B" w:rsidRPr="00EE447B">
        <w:rPr>
          <w:rFonts w:cs="Calibri"/>
          <w:highlight w:val="lightGray"/>
        </w:rPr>
        <w:t>Administrator</w:t>
      </w:r>
      <w:r w:rsidRPr="00723E71">
        <w:rPr>
          <w:rFonts w:cs="Calibri"/>
        </w:rPr>
        <w:t xml:space="preserve"> can resolve the matter informally by providing supportive measures (only) </w:t>
      </w:r>
      <w:r w:rsidR="00290AB3">
        <w:rPr>
          <w:rFonts w:cs="Calibri"/>
        </w:rPr>
        <w:t>designed to</w:t>
      </w:r>
      <w:r w:rsidR="00290AB3" w:rsidRPr="00723E71">
        <w:rPr>
          <w:rFonts w:cs="Calibri"/>
        </w:rPr>
        <w:t xml:space="preserve"> </w:t>
      </w:r>
      <w:r w:rsidRPr="00723E71">
        <w:rPr>
          <w:rFonts w:cs="Calibri"/>
        </w:rPr>
        <w:t>remedy the situation</w:t>
      </w:r>
      <w:r w:rsidR="001D2C1D">
        <w:rPr>
          <w:rFonts w:cs="Calibri"/>
        </w:rPr>
        <w:t>.</w:t>
      </w:r>
    </w:p>
    <w:p w14:paraId="114699DC" w14:textId="77777777" w:rsidR="00BA3599" w:rsidRDefault="00BA3599" w:rsidP="005E6B05">
      <w:pPr>
        <w:pStyle w:val="ListParagraph"/>
        <w:ind w:left="1440"/>
        <w:rPr>
          <w:rFonts w:cs="Calibri"/>
        </w:rPr>
      </w:pPr>
    </w:p>
    <w:p w14:paraId="0BFA36F3" w14:textId="4F41B250" w:rsidR="00723E71" w:rsidRDefault="00EE447B" w:rsidP="005521DD">
      <w:pPr>
        <w:pStyle w:val="ListParagraph"/>
        <w:numPr>
          <w:ilvl w:val="0"/>
          <w:numId w:val="18"/>
        </w:numPr>
        <w:rPr>
          <w:rFonts w:cs="Calibri"/>
        </w:rPr>
      </w:pPr>
      <w:r>
        <w:rPr>
          <w:rFonts w:cs="Calibri"/>
          <w:b/>
          <w:bCs/>
        </w:rPr>
        <w:t>Educational Conversation</w:t>
      </w:r>
      <w:r w:rsidRPr="00EE447B">
        <w:rPr>
          <w:rFonts w:cs="Calibri"/>
        </w:rPr>
        <w:t>.</w:t>
      </w:r>
      <w:r>
        <w:rPr>
          <w:rFonts w:cs="Calibri"/>
        </w:rPr>
        <w:t xml:space="preserve"> When the </w:t>
      </w:r>
      <w:r w:rsidRPr="00AF4053">
        <w:rPr>
          <w:rFonts w:cs="Calibri"/>
          <w:highlight w:val="lightGray"/>
        </w:rPr>
        <w:t>Administrator</w:t>
      </w:r>
      <w:r>
        <w:rPr>
          <w:rFonts w:cs="Calibri"/>
        </w:rPr>
        <w:t xml:space="preserve"> can resolve the matter informally by having a conversation with the Respondent to discuss the Complainant</w:t>
      </w:r>
      <w:r w:rsidR="0049174B">
        <w:rPr>
          <w:rFonts w:cs="Calibri"/>
        </w:rPr>
        <w:t>’</w:t>
      </w:r>
      <w:r>
        <w:rPr>
          <w:rFonts w:cs="Calibri"/>
        </w:rPr>
        <w:t>s concerns and institutional expectations</w:t>
      </w:r>
      <w:r w:rsidR="0049174B">
        <w:rPr>
          <w:rFonts w:cs="Calibri"/>
        </w:rPr>
        <w:t xml:space="preserve"> or can accompany the Complainant in their desire to confront the conduct</w:t>
      </w:r>
      <w:r w:rsidR="001D2C1D">
        <w:rPr>
          <w:rFonts w:cs="Calibri"/>
        </w:rPr>
        <w:t>.</w:t>
      </w:r>
      <w:r w:rsidR="00723E71">
        <w:rPr>
          <w:rFonts w:cs="Calibri"/>
        </w:rPr>
        <w:br/>
      </w:r>
    </w:p>
    <w:p w14:paraId="369D32AE" w14:textId="7A6D9100" w:rsidR="00EE447B" w:rsidRPr="00723E71" w:rsidRDefault="00EE447B" w:rsidP="005521DD">
      <w:pPr>
        <w:pStyle w:val="ListParagraph"/>
        <w:numPr>
          <w:ilvl w:val="0"/>
          <w:numId w:val="18"/>
        </w:numPr>
        <w:rPr>
          <w:rFonts w:cs="Calibri"/>
        </w:rPr>
      </w:pPr>
      <w:r w:rsidRPr="00723E71">
        <w:rPr>
          <w:rFonts w:cs="Calibri"/>
          <w:b/>
          <w:bCs/>
        </w:rPr>
        <w:t>Accepted Responsibility</w:t>
      </w:r>
      <w:r w:rsidRPr="00723E71">
        <w:rPr>
          <w:rFonts w:cs="Calibri"/>
        </w:rPr>
        <w:t xml:space="preserve">. When the Respondent </w:t>
      </w:r>
      <w:r w:rsidR="0049174B">
        <w:rPr>
          <w:rFonts w:cs="Calibri"/>
        </w:rPr>
        <w:t xml:space="preserve">is willing to </w:t>
      </w:r>
      <w:r w:rsidRPr="00723E71">
        <w:rPr>
          <w:rFonts w:cs="Calibri"/>
        </w:rPr>
        <w:t xml:space="preserve">accept responsibility for violating </w:t>
      </w:r>
      <w:r w:rsidR="00D715ED">
        <w:rPr>
          <w:rFonts w:cs="Calibri"/>
        </w:rPr>
        <w:t>P</w:t>
      </w:r>
      <w:r w:rsidRPr="00723E71">
        <w:rPr>
          <w:rFonts w:cs="Calibri"/>
        </w:rPr>
        <w:t xml:space="preserve">olicy </w:t>
      </w:r>
      <w:r w:rsidR="0049174B">
        <w:rPr>
          <w:rFonts w:cs="Calibri"/>
        </w:rPr>
        <w:t>and is willing to agree to actions that will be enforced similarly to sanctions</w:t>
      </w:r>
      <w:r>
        <w:rPr>
          <w:rFonts w:cs="Calibri"/>
        </w:rPr>
        <w:t xml:space="preserve">, and the Complainant(s) and </w:t>
      </w:r>
      <w:r w:rsidRPr="00AF4053">
        <w:rPr>
          <w:rFonts w:cs="Calibri"/>
          <w:highlight w:val="lightGray"/>
        </w:rPr>
        <w:t>Recipient</w:t>
      </w:r>
      <w:r>
        <w:rPr>
          <w:rFonts w:cs="Calibri"/>
        </w:rPr>
        <w:t xml:space="preserve"> are agreeable to the resolution</w:t>
      </w:r>
      <w:r w:rsidR="0049174B">
        <w:rPr>
          <w:rFonts w:cs="Calibri"/>
        </w:rPr>
        <w:t xml:space="preserve"> terms</w:t>
      </w:r>
      <w:r w:rsidR="001D2C1D">
        <w:rPr>
          <w:rFonts w:cs="Calibri"/>
        </w:rPr>
        <w:t>.</w:t>
      </w:r>
    </w:p>
    <w:p w14:paraId="0B00D27E" w14:textId="77777777" w:rsidR="00EE447B" w:rsidRPr="00EE447B" w:rsidRDefault="00EE447B" w:rsidP="00EE447B">
      <w:pPr>
        <w:pStyle w:val="ListParagraph"/>
        <w:ind w:left="1440"/>
        <w:rPr>
          <w:rFonts w:cs="Calibri"/>
        </w:rPr>
      </w:pPr>
    </w:p>
    <w:p w14:paraId="7F7963B1" w14:textId="7DB1358D" w:rsidR="00723E71" w:rsidRDefault="00723E71" w:rsidP="005521DD">
      <w:pPr>
        <w:pStyle w:val="ListParagraph"/>
        <w:numPr>
          <w:ilvl w:val="0"/>
          <w:numId w:val="18"/>
        </w:numPr>
        <w:rPr>
          <w:rFonts w:cs="Calibri"/>
        </w:rPr>
      </w:pPr>
      <w:r w:rsidRPr="00723E71">
        <w:rPr>
          <w:rFonts w:cs="Calibri"/>
          <w:b/>
          <w:bCs/>
        </w:rPr>
        <w:t>Alternative Resolution</w:t>
      </w:r>
      <w:r w:rsidRPr="00723E71">
        <w:rPr>
          <w:rFonts w:cs="Calibri"/>
        </w:rPr>
        <w:t xml:space="preserve">. When the </w:t>
      </w:r>
      <w:r w:rsidR="0028631C">
        <w:rPr>
          <w:rFonts w:cs="Calibri"/>
        </w:rPr>
        <w:t>Parties</w:t>
      </w:r>
      <w:r w:rsidRPr="00723E71">
        <w:rPr>
          <w:rFonts w:cs="Calibri"/>
        </w:rPr>
        <w:t xml:space="preserve"> agree to resolve the matter through an alternative resolution mechanism</w:t>
      </w:r>
      <w:r w:rsidR="00CD0D66">
        <w:rPr>
          <w:rFonts w:cs="Calibri"/>
        </w:rPr>
        <w:t xml:space="preserve"> </w:t>
      </w:r>
      <w:r w:rsidR="00585D94" w:rsidRPr="00585D94">
        <w:rPr>
          <w:rFonts w:cs="Calibri"/>
        </w:rPr>
        <w:t xml:space="preserve">(which could </w:t>
      </w:r>
      <w:r w:rsidRPr="00ED3CAB">
        <w:rPr>
          <w:rFonts w:cs="Calibri"/>
        </w:rPr>
        <w:t>includ</w:t>
      </w:r>
      <w:r w:rsidR="00585D94" w:rsidRPr="00ED3CAB">
        <w:rPr>
          <w:rFonts w:cs="Calibri"/>
        </w:rPr>
        <w:t>e</w:t>
      </w:r>
      <w:r w:rsidR="00B977FE">
        <w:rPr>
          <w:rFonts w:cs="Calibri"/>
        </w:rPr>
        <w:t>,</w:t>
      </w:r>
      <w:r w:rsidRPr="00ED3CAB">
        <w:rPr>
          <w:rFonts w:cs="Calibri"/>
        </w:rPr>
        <w:t xml:space="preserve"> </w:t>
      </w:r>
      <w:r w:rsidR="00CD0D66" w:rsidRPr="00ED3CAB">
        <w:rPr>
          <w:rFonts w:cs="Calibri"/>
        </w:rPr>
        <w:t xml:space="preserve">but </w:t>
      </w:r>
      <w:r w:rsidR="00585D94" w:rsidRPr="00ED3CAB">
        <w:rPr>
          <w:rFonts w:cs="Calibri"/>
        </w:rPr>
        <w:t xml:space="preserve">is </w:t>
      </w:r>
      <w:r w:rsidR="00CD0D66" w:rsidRPr="00ED3CAB">
        <w:rPr>
          <w:rFonts w:cs="Calibri"/>
        </w:rPr>
        <w:t>not limited to</w:t>
      </w:r>
      <w:r w:rsidR="006F298B">
        <w:rPr>
          <w:rFonts w:cs="Calibri"/>
        </w:rPr>
        <w:t>,</w:t>
      </w:r>
      <w:r w:rsidR="00CD0D66" w:rsidRPr="00ED3CAB">
        <w:rPr>
          <w:rFonts w:cs="Calibri"/>
        </w:rPr>
        <w:t xml:space="preserve"> </w:t>
      </w:r>
      <w:r w:rsidR="001D2C1D" w:rsidRPr="00ED3CAB">
        <w:rPr>
          <w:rFonts w:cs="Calibri"/>
        </w:rPr>
        <w:t xml:space="preserve">mediation, </w:t>
      </w:r>
      <w:r w:rsidR="00EE447B" w:rsidRPr="00ED3CAB">
        <w:rPr>
          <w:rFonts w:cs="Calibri"/>
        </w:rPr>
        <w:t>shuttle negotiation</w:t>
      </w:r>
      <w:r w:rsidRPr="00ED3CAB">
        <w:rPr>
          <w:rFonts w:cs="Calibri"/>
        </w:rPr>
        <w:t>, restorative practices, facilitated dialogue, etc.</w:t>
      </w:r>
      <w:r w:rsidR="00585D94" w:rsidRPr="00ED3CAB">
        <w:rPr>
          <w:rFonts w:cs="Calibri"/>
        </w:rPr>
        <w:t>)</w:t>
      </w:r>
      <w:r w:rsidRPr="00585D94">
        <w:rPr>
          <w:rFonts w:cs="Calibri"/>
        </w:rPr>
        <w:t>,</w:t>
      </w:r>
      <w:r w:rsidRPr="00723E71">
        <w:rPr>
          <w:rFonts w:cs="Calibri"/>
        </w:rPr>
        <w:t xml:space="preserve"> as described below</w:t>
      </w:r>
      <w:r w:rsidR="001D2C1D">
        <w:rPr>
          <w:rFonts w:cs="Calibri"/>
        </w:rPr>
        <w:t>.</w:t>
      </w:r>
      <w:r w:rsidRPr="00723E71">
        <w:rPr>
          <w:rFonts w:cs="Calibri"/>
        </w:rPr>
        <w:t xml:space="preserve"> </w:t>
      </w:r>
    </w:p>
    <w:p w14:paraId="3C63E2FA" w14:textId="77777777" w:rsidR="000005C2" w:rsidRDefault="000005C2" w:rsidP="005E6B05">
      <w:pPr>
        <w:rPr>
          <w:rFonts w:cs="Calibri"/>
        </w:rPr>
      </w:pPr>
    </w:p>
    <w:p w14:paraId="6D9CB4D0" w14:textId="6CC57E33" w:rsidR="000005C2" w:rsidRDefault="000005C2" w:rsidP="000005C2">
      <w:pPr>
        <w:ind w:left="720"/>
        <w:rPr>
          <w:rFonts w:cs="Calibri"/>
        </w:rPr>
      </w:pPr>
      <w:r>
        <w:rPr>
          <w:rFonts w:cs="Calibri"/>
        </w:rPr>
        <w:t xml:space="preserve">The individual facilitating an Informal Resolution must be trained and cannot be the </w:t>
      </w:r>
      <w:r w:rsidR="0025659B">
        <w:rPr>
          <w:rFonts w:cs="Calibri"/>
        </w:rPr>
        <w:t>I</w:t>
      </w:r>
      <w:r>
        <w:rPr>
          <w:rFonts w:cs="Calibri"/>
        </w:rPr>
        <w:t xml:space="preserve">nvestigator, </w:t>
      </w:r>
      <w:r w:rsidR="0025659B">
        <w:rPr>
          <w:rFonts w:cs="Calibri"/>
        </w:rPr>
        <w:t>D</w:t>
      </w:r>
      <w:r>
        <w:rPr>
          <w:rFonts w:cs="Calibri"/>
        </w:rPr>
        <w:t xml:space="preserve">ecision-maker, or </w:t>
      </w:r>
      <w:r w:rsidR="0025659B">
        <w:rPr>
          <w:rFonts w:cs="Calibri"/>
        </w:rPr>
        <w:t>A</w:t>
      </w:r>
      <w:r>
        <w:rPr>
          <w:rFonts w:cs="Calibri"/>
        </w:rPr>
        <w:t>ppeal</w:t>
      </w:r>
      <w:r w:rsidR="0025659B">
        <w:rPr>
          <w:rFonts w:cs="Calibri"/>
        </w:rPr>
        <w:t xml:space="preserve"> Decision-maker</w:t>
      </w:r>
      <w:r>
        <w:rPr>
          <w:rFonts w:cs="Calibri"/>
        </w:rPr>
        <w:t xml:space="preserve">. </w:t>
      </w:r>
    </w:p>
    <w:p w14:paraId="69E18FDE" w14:textId="77777777" w:rsidR="000005C2" w:rsidRPr="00723E71" w:rsidRDefault="000005C2" w:rsidP="000005C2">
      <w:pPr>
        <w:rPr>
          <w:rFonts w:cs="Calibri"/>
        </w:rPr>
      </w:pPr>
    </w:p>
    <w:p w14:paraId="0D59298B" w14:textId="77777777" w:rsidR="000005C2" w:rsidRDefault="000005C2" w:rsidP="000005C2">
      <w:pPr>
        <w:ind w:left="720"/>
        <w:rPr>
          <w:rFonts w:cs="Calibri"/>
        </w:rPr>
      </w:pPr>
      <w:r w:rsidRPr="00723E71">
        <w:rPr>
          <w:rFonts w:cs="Calibri"/>
        </w:rPr>
        <w:t xml:space="preserve">It is not necessary to pursue Informal Resolution first </w:t>
      </w:r>
      <w:proofErr w:type="gramStart"/>
      <w:r w:rsidRPr="00723E71">
        <w:rPr>
          <w:rFonts w:cs="Calibri"/>
        </w:rPr>
        <w:t>in order to</w:t>
      </w:r>
      <w:proofErr w:type="gramEnd"/>
      <w:r w:rsidRPr="00723E71">
        <w:rPr>
          <w:rFonts w:cs="Calibri"/>
        </w:rPr>
        <w:t xml:space="preserve"> pursue a</w:t>
      </w:r>
      <w:r>
        <w:rPr>
          <w:rFonts w:cs="Calibri"/>
        </w:rPr>
        <w:t xml:space="preserve">n </w:t>
      </w:r>
      <w:r w:rsidRPr="005E6B05">
        <w:rPr>
          <w:rFonts w:cs="Calibri"/>
          <w:highlight w:val="lightGray"/>
        </w:rPr>
        <w:t xml:space="preserve">Administrative </w:t>
      </w:r>
      <w:r w:rsidRPr="005E6B05">
        <w:rPr>
          <w:rFonts w:cs="Calibri"/>
          <w:b/>
          <w:bCs/>
          <w:highlight w:val="lightGray"/>
        </w:rPr>
        <w:t>OR</w:t>
      </w:r>
      <w:r w:rsidRPr="005E6B05">
        <w:rPr>
          <w:rFonts w:cs="Calibri"/>
          <w:highlight w:val="lightGray"/>
        </w:rPr>
        <w:t xml:space="preserve"> Hearing Resolution Process</w:t>
      </w:r>
      <w:r>
        <w:rPr>
          <w:rFonts w:cs="Calibri"/>
        </w:rPr>
        <w:t>.</w:t>
      </w:r>
      <w:r w:rsidRPr="00723E71">
        <w:rPr>
          <w:rFonts w:cs="Calibri"/>
        </w:rPr>
        <w:t xml:space="preserve"> </w:t>
      </w:r>
      <w:r>
        <w:rPr>
          <w:rFonts w:cs="Calibri"/>
        </w:rPr>
        <w:t>A</w:t>
      </w:r>
      <w:r w:rsidRPr="00723E71">
        <w:rPr>
          <w:rFonts w:cs="Calibri"/>
        </w:rPr>
        <w:t xml:space="preserve">ny party participating in Informal Resolution can </w:t>
      </w:r>
      <w:r>
        <w:rPr>
          <w:rFonts w:cs="Calibri"/>
        </w:rPr>
        <w:t>withdraw from the Informal Resolution</w:t>
      </w:r>
      <w:r w:rsidRPr="00723E71">
        <w:rPr>
          <w:rFonts w:cs="Calibri"/>
        </w:rPr>
        <w:t xml:space="preserve"> </w:t>
      </w:r>
      <w:r>
        <w:rPr>
          <w:rFonts w:cs="Calibri"/>
        </w:rPr>
        <w:t>P</w:t>
      </w:r>
      <w:r w:rsidRPr="00723E71">
        <w:rPr>
          <w:rFonts w:cs="Calibri"/>
        </w:rPr>
        <w:t>rocess at any time</w:t>
      </w:r>
      <w:r>
        <w:rPr>
          <w:rFonts w:cs="Calibri"/>
        </w:rPr>
        <w:t xml:space="preserve"> and</w:t>
      </w:r>
      <w:r w:rsidRPr="00723E71">
        <w:rPr>
          <w:rFonts w:cs="Calibri"/>
        </w:rPr>
        <w:t xml:space="preserve"> </w:t>
      </w:r>
      <w:r>
        <w:rPr>
          <w:rFonts w:cs="Calibri"/>
        </w:rPr>
        <w:t>initiate</w:t>
      </w:r>
      <w:r w:rsidRPr="00723E71">
        <w:rPr>
          <w:rFonts w:cs="Calibri"/>
        </w:rPr>
        <w:t xml:space="preserve"> or resume the </w:t>
      </w:r>
      <w:r w:rsidRPr="005E6B05">
        <w:rPr>
          <w:rFonts w:cs="Calibri"/>
          <w:highlight w:val="lightGray"/>
        </w:rPr>
        <w:t xml:space="preserve">Administrative </w:t>
      </w:r>
      <w:r w:rsidRPr="005E6B05">
        <w:rPr>
          <w:rFonts w:cs="Calibri"/>
          <w:b/>
          <w:bCs/>
          <w:highlight w:val="lightGray"/>
        </w:rPr>
        <w:t>OR</w:t>
      </w:r>
      <w:r w:rsidRPr="005E6B05">
        <w:rPr>
          <w:rFonts w:cs="Calibri"/>
          <w:highlight w:val="lightGray"/>
        </w:rPr>
        <w:t xml:space="preserve"> Hearing Resolution </w:t>
      </w:r>
      <w:r w:rsidRPr="00723E71">
        <w:rPr>
          <w:rFonts w:cs="Calibri"/>
        </w:rPr>
        <w:t xml:space="preserve">Process. </w:t>
      </w:r>
    </w:p>
    <w:p w14:paraId="309B7092" w14:textId="77777777" w:rsidR="000005C2" w:rsidRDefault="000005C2" w:rsidP="000005C2">
      <w:pPr>
        <w:ind w:left="720"/>
        <w:rPr>
          <w:rFonts w:cs="Calibri"/>
        </w:rPr>
      </w:pPr>
    </w:p>
    <w:p w14:paraId="563A57EC" w14:textId="1E3E0EBA" w:rsidR="000005C2" w:rsidRDefault="000005C2" w:rsidP="000005C2">
      <w:pPr>
        <w:ind w:left="720"/>
        <w:rPr>
          <w:rFonts w:cs="Calibri"/>
        </w:rPr>
      </w:pPr>
      <w:r w:rsidRPr="00723E71">
        <w:rPr>
          <w:rFonts w:cs="Calibri"/>
        </w:rPr>
        <w:t xml:space="preserve">The </w:t>
      </w:r>
      <w:r w:rsidR="00813AA6">
        <w:rPr>
          <w:rFonts w:cs="Calibri"/>
        </w:rPr>
        <w:t>P</w:t>
      </w:r>
      <w:r w:rsidRPr="00723E71">
        <w:rPr>
          <w:rFonts w:cs="Calibri"/>
        </w:rPr>
        <w:t xml:space="preserve">arties may agree, as a condition of engaging in Informal Resolution, </w:t>
      </w:r>
      <w:r w:rsidR="00813AA6">
        <w:rPr>
          <w:rFonts w:cs="Calibri"/>
        </w:rPr>
        <w:t>on what</w:t>
      </w:r>
      <w:r w:rsidR="00813AA6" w:rsidRPr="00723E71">
        <w:rPr>
          <w:rFonts w:cs="Calibri"/>
        </w:rPr>
        <w:t xml:space="preserve"> </w:t>
      </w:r>
      <w:r w:rsidRPr="00723E71">
        <w:rPr>
          <w:rFonts w:cs="Calibri"/>
        </w:rPr>
        <w:t xml:space="preserve">statements made or evidence shared during the Informal Resolution process will not be considered in the </w:t>
      </w:r>
      <w:r w:rsidRPr="005E6B05">
        <w:rPr>
          <w:rFonts w:cs="Calibri"/>
          <w:highlight w:val="lightGray"/>
        </w:rPr>
        <w:t xml:space="preserve">Administrative Resolution </w:t>
      </w:r>
      <w:r w:rsidRPr="005E6B05">
        <w:rPr>
          <w:rFonts w:cs="Calibri"/>
          <w:b/>
          <w:bCs/>
          <w:highlight w:val="lightGray"/>
        </w:rPr>
        <w:t>OR</w:t>
      </w:r>
      <w:r w:rsidRPr="005E6B05">
        <w:rPr>
          <w:rFonts w:cs="Calibri"/>
          <w:highlight w:val="lightGray"/>
        </w:rPr>
        <w:t xml:space="preserve"> Hearing Process</w:t>
      </w:r>
      <w:r w:rsidR="00F4467C">
        <w:rPr>
          <w:rFonts w:cs="Calibri"/>
        </w:rPr>
        <w:t>, should Informal Resolution not be successful,</w:t>
      </w:r>
      <w:r w:rsidRPr="00723E71">
        <w:rPr>
          <w:rFonts w:cs="Calibri"/>
        </w:rPr>
        <w:t xml:space="preserve"> unless </w:t>
      </w:r>
      <w:r>
        <w:rPr>
          <w:rFonts w:cs="Calibri"/>
        </w:rPr>
        <w:t xml:space="preserve">agreed to by all </w:t>
      </w:r>
      <w:r w:rsidR="0028631C">
        <w:rPr>
          <w:rFonts w:cs="Calibri"/>
        </w:rPr>
        <w:t>Parties</w:t>
      </w:r>
      <w:r>
        <w:rPr>
          <w:rFonts w:cs="Calibri"/>
        </w:rPr>
        <w:t xml:space="preserve">. </w:t>
      </w:r>
    </w:p>
    <w:p w14:paraId="174BCC22" w14:textId="77777777" w:rsidR="000005C2" w:rsidRDefault="000005C2" w:rsidP="000005C2">
      <w:pPr>
        <w:rPr>
          <w:rFonts w:cs="Calibri"/>
        </w:rPr>
      </w:pPr>
    </w:p>
    <w:p w14:paraId="51E2EE32" w14:textId="4DC7C5BE" w:rsidR="000005C2" w:rsidRPr="00723E71" w:rsidRDefault="00813AA6" w:rsidP="000005C2">
      <w:pPr>
        <w:ind w:left="720"/>
        <w:rPr>
          <w:rFonts w:cs="Calibri"/>
        </w:rPr>
      </w:pPr>
      <w:r>
        <w:rPr>
          <w:rFonts w:cs="Calibri"/>
        </w:rPr>
        <w:t>If an investigation is already underway, t</w:t>
      </w:r>
      <w:r w:rsidR="000005C2" w:rsidRPr="00723E71">
        <w:rPr>
          <w:rFonts w:cs="Calibri"/>
        </w:rPr>
        <w:t xml:space="preserve">he </w:t>
      </w:r>
      <w:r w:rsidR="000005C2" w:rsidRPr="00436168">
        <w:rPr>
          <w:rFonts w:cs="Calibri"/>
          <w:highlight w:val="lightGray"/>
        </w:rPr>
        <w:t>Administrator</w:t>
      </w:r>
      <w:r w:rsidR="000005C2" w:rsidRPr="00723E71">
        <w:rPr>
          <w:rFonts w:cs="Calibri"/>
        </w:rPr>
        <w:t xml:space="preserve"> has discretion to determine if an investigation will be paused, if it will be limited, or </w:t>
      </w:r>
      <w:r w:rsidR="000005C2">
        <w:rPr>
          <w:rFonts w:cs="Calibri"/>
        </w:rPr>
        <w:t xml:space="preserve">if it </w:t>
      </w:r>
      <w:r w:rsidR="000005C2" w:rsidRPr="00723E71">
        <w:rPr>
          <w:rFonts w:cs="Calibri"/>
        </w:rPr>
        <w:t xml:space="preserve">will continue during the Informal Resolution process. </w:t>
      </w:r>
    </w:p>
    <w:p w14:paraId="78F5A331" w14:textId="77777777" w:rsidR="000005C2" w:rsidRDefault="000005C2" w:rsidP="00ED3CAB">
      <w:pPr>
        <w:rPr>
          <w:rFonts w:cs="Calibri"/>
        </w:rPr>
      </w:pPr>
    </w:p>
    <w:p w14:paraId="175C5037" w14:textId="77777777" w:rsidR="000005C2" w:rsidRPr="00F539C8" w:rsidRDefault="000005C2" w:rsidP="000005C2">
      <w:pPr>
        <w:ind w:firstLine="720"/>
        <w:rPr>
          <w:rFonts w:cs="Calibri"/>
          <w:u w:val="single"/>
        </w:rPr>
      </w:pPr>
      <w:r w:rsidRPr="00F539C8">
        <w:rPr>
          <w:rFonts w:cs="Calibri"/>
          <w:u w:val="single"/>
        </w:rPr>
        <w:t>Categories of Informal Resolution</w:t>
      </w:r>
    </w:p>
    <w:p w14:paraId="441E3F23" w14:textId="77777777" w:rsidR="00436168" w:rsidRDefault="00436168" w:rsidP="00723E71">
      <w:pPr>
        <w:ind w:left="720"/>
        <w:rPr>
          <w:rFonts w:cs="Calibri"/>
        </w:rPr>
      </w:pPr>
    </w:p>
    <w:p w14:paraId="2B0EFEDA" w14:textId="374BB093" w:rsidR="00436168" w:rsidRDefault="00436168" w:rsidP="00436168">
      <w:pPr>
        <w:pStyle w:val="Heading3"/>
      </w:pPr>
      <w:bookmarkStart w:id="93" w:name="_Toc168477541"/>
      <w:r w:rsidRPr="00436168">
        <w:t>Supportive Resolution</w:t>
      </w:r>
      <w:bookmarkEnd w:id="93"/>
    </w:p>
    <w:p w14:paraId="134E2B77" w14:textId="77777777" w:rsidR="00436168" w:rsidRDefault="00436168" w:rsidP="00436168">
      <w:pPr>
        <w:ind w:left="1080"/>
      </w:pPr>
    </w:p>
    <w:p w14:paraId="5BF072D1" w14:textId="0DC31CFB" w:rsidR="00436168" w:rsidRDefault="00436168" w:rsidP="00436168">
      <w:pPr>
        <w:ind w:left="1080"/>
      </w:pPr>
      <w:r w:rsidRPr="00C63114">
        <w:t xml:space="preserve">The </w:t>
      </w:r>
      <w:r w:rsidRPr="00C63114">
        <w:rPr>
          <w:highlight w:val="lightGray"/>
        </w:rPr>
        <w:t>Administrator</w:t>
      </w:r>
      <w:r w:rsidRPr="00C63114">
        <w:t xml:space="preserve"> will meet with the Complainant to determine reasonable supportive measures that </w:t>
      </w:r>
      <w:r w:rsidR="009C7692">
        <w:t xml:space="preserve">are </w:t>
      </w:r>
      <w:r w:rsidR="00290AB3">
        <w:t xml:space="preserve">designed to </w:t>
      </w:r>
      <w:r w:rsidRPr="00C63114">
        <w:t xml:space="preserve">restore or preserve the Complainant’s </w:t>
      </w:r>
      <w:r w:rsidRPr="00C63114">
        <w:lastRenderedPageBreak/>
        <w:t xml:space="preserve">access to the </w:t>
      </w:r>
      <w:r w:rsidRPr="00C63114">
        <w:rPr>
          <w:highlight w:val="lightGray"/>
        </w:rPr>
        <w:t>Recipient</w:t>
      </w:r>
      <w:r w:rsidRPr="00C63114">
        <w:t>’s education program and activity.</w:t>
      </w:r>
      <w:r>
        <w:t xml:space="preserve"> Such measures can be modified as the Complainant’s needs evolve over time or circumstances change.</w:t>
      </w:r>
      <w:r w:rsidR="009C7692">
        <w:t xml:space="preserve"> </w:t>
      </w:r>
      <w:r w:rsidR="00B82903">
        <w:t xml:space="preserve">If the Respondent has received </w:t>
      </w:r>
      <w:r w:rsidR="00BD18A8">
        <w:t>the NOIA</w:t>
      </w:r>
      <w:r w:rsidR="00B82903">
        <w:t>, t</w:t>
      </w:r>
      <w:r w:rsidR="009C7692">
        <w:t xml:space="preserve">he </w:t>
      </w:r>
      <w:r w:rsidR="009C7692" w:rsidRPr="00ED3CAB">
        <w:rPr>
          <w:highlight w:val="lightGray"/>
        </w:rPr>
        <w:t>Administrator</w:t>
      </w:r>
      <w:r w:rsidR="009C7692">
        <w:t xml:space="preserve"> may also provide reasonabl</w:t>
      </w:r>
      <w:r w:rsidR="00E66F40">
        <w:t>e</w:t>
      </w:r>
      <w:r w:rsidR="009C7692">
        <w:t xml:space="preserve"> supportive measures for the Respondent as deemed appropriate. </w:t>
      </w:r>
      <w:r w:rsidR="00A629FC">
        <w:t xml:space="preserve">This option is available </w:t>
      </w:r>
      <w:r w:rsidR="002E2020">
        <w:t xml:space="preserve">when the Complainant does not want to engage the other resolution options, and the </w:t>
      </w:r>
      <w:r w:rsidR="002E2020" w:rsidRPr="00ED3CAB">
        <w:rPr>
          <w:highlight w:val="lightGray"/>
        </w:rPr>
        <w:t>Administrator</w:t>
      </w:r>
      <w:r w:rsidR="002E2020">
        <w:t xml:space="preserve"> does not initiate a </w:t>
      </w:r>
      <w:r w:rsidR="00F240C0">
        <w:t>Complaint</w:t>
      </w:r>
      <w:r w:rsidR="002E2020">
        <w:t>.</w:t>
      </w:r>
    </w:p>
    <w:p w14:paraId="1DD1E484" w14:textId="77777777" w:rsidR="00436168" w:rsidRDefault="00436168" w:rsidP="00436168">
      <w:pPr>
        <w:ind w:left="1080"/>
      </w:pPr>
    </w:p>
    <w:p w14:paraId="3ACCC444" w14:textId="76F71942" w:rsidR="00436168" w:rsidRPr="00436168" w:rsidRDefault="00436168" w:rsidP="00436168">
      <w:pPr>
        <w:pStyle w:val="Heading3"/>
      </w:pPr>
      <w:bookmarkStart w:id="94" w:name="_Toc168477542"/>
      <w:r>
        <w:t>Educational Conversation</w:t>
      </w:r>
      <w:bookmarkEnd w:id="94"/>
    </w:p>
    <w:p w14:paraId="59BC64AB" w14:textId="77777777" w:rsidR="00723E71" w:rsidRDefault="00723E71" w:rsidP="00723E71">
      <w:pPr>
        <w:rPr>
          <w:rFonts w:cs="Calibri"/>
          <w:b/>
          <w:bCs/>
        </w:rPr>
      </w:pPr>
    </w:p>
    <w:p w14:paraId="5EF6009B" w14:textId="7DE04CF6" w:rsidR="00436168" w:rsidRPr="00B315A5" w:rsidRDefault="00436168" w:rsidP="00C63114">
      <w:pPr>
        <w:ind w:left="1080"/>
      </w:pPr>
      <w:r>
        <w:t xml:space="preserve">The Complainant(s) may request that the </w:t>
      </w:r>
      <w:r w:rsidRPr="00ED3CAB">
        <w:rPr>
          <w:highlight w:val="lightGray"/>
        </w:rPr>
        <w:t>Administrator</w:t>
      </w:r>
      <w:r>
        <w:t xml:space="preserve"> </w:t>
      </w:r>
      <w:r w:rsidR="003B0CA9">
        <w:t xml:space="preserve">address their allegations by </w:t>
      </w:r>
      <w:r>
        <w:t>meet</w:t>
      </w:r>
      <w:r w:rsidR="00D42A84">
        <w:t>ing (with or without the Complainant)</w:t>
      </w:r>
      <w:r>
        <w:t xml:space="preserve"> with the Respondent(s) to discuss concerning behavior and institutional policies and expectations. Such a conversation is non-disciplinary and non-punitive. Respondent(s) are not required to attend such meetings, nor are they compelled to provide any information if they attend. The conversation will be documented as the Informal Resolution for the matter</w:t>
      </w:r>
      <w:r w:rsidR="00D42A84">
        <w:t>,</w:t>
      </w:r>
      <w:r>
        <w:t xml:space="preserve"> if it takes place.</w:t>
      </w:r>
      <w:r w:rsidR="00D42A84">
        <w:t xml:space="preserve"> </w:t>
      </w:r>
      <w:proofErr w:type="gramStart"/>
      <w:r w:rsidR="00D42A84">
        <w:t>In light of</w:t>
      </w:r>
      <w:proofErr w:type="gramEnd"/>
      <w:r w:rsidR="00D42A84">
        <w:t xml:space="preserve"> this conversation, or the Respondent’s decision not to attend, the </w:t>
      </w:r>
      <w:r w:rsidR="00D42A84" w:rsidRPr="00ED3CAB">
        <w:rPr>
          <w:highlight w:val="lightGray"/>
        </w:rPr>
        <w:t>Administrator</w:t>
      </w:r>
      <w:r w:rsidR="00D42A84">
        <w:t xml:space="preserve"> may also implement remedial actions to ensure that policies and expectations are clear and to minimize the risk of </w:t>
      </w:r>
      <w:proofErr w:type="gramStart"/>
      <w:r w:rsidR="00D42A84">
        <w:t>recurrence</w:t>
      </w:r>
      <w:proofErr w:type="gramEnd"/>
      <w:r w:rsidR="00D42A84">
        <w:t xml:space="preserve"> of any behaviors that may not align with Policy.</w:t>
      </w:r>
    </w:p>
    <w:p w14:paraId="0E5F0A4D" w14:textId="77777777" w:rsidR="00436168" w:rsidRDefault="00436168" w:rsidP="00723E71">
      <w:pPr>
        <w:rPr>
          <w:rFonts w:cs="Calibri"/>
          <w:b/>
          <w:bCs/>
        </w:rPr>
      </w:pPr>
    </w:p>
    <w:p w14:paraId="5C0B3DF8" w14:textId="313AEF88" w:rsidR="009F5000" w:rsidRDefault="00C63114" w:rsidP="00C63114">
      <w:pPr>
        <w:pStyle w:val="Heading3"/>
      </w:pPr>
      <w:bookmarkStart w:id="95" w:name="_Toc168477543"/>
      <w:r>
        <w:t>Accepted Responsibility</w:t>
      </w:r>
      <w:r w:rsidR="00F40EE3">
        <w:rPr>
          <w:rStyle w:val="FootnoteReference"/>
        </w:rPr>
        <w:footnoteReference w:id="28"/>
      </w:r>
      <w:bookmarkEnd w:id="95"/>
    </w:p>
    <w:p w14:paraId="36554CC7" w14:textId="77777777" w:rsidR="009F5000" w:rsidRDefault="009F5000" w:rsidP="009F5000"/>
    <w:p w14:paraId="016F4789" w14:textId="12605D8F" w:rsidR="009F5000" w:rsidRDefault="009F5000" w:rsidP="009F5000">
      <w:pPr>
        <w:ind w:left="1080"/>
      </w:pPr>
      <w:r>
        <w:t xml:space="preserve">The Respondent may accept responsibility for any or </w:t>
      </w:r>
      <w:proofErr w:type="gramStart"/>
      <w:r>
        <w:t>all of</w:t>
      </w:r>
      <w:proofErr w:type="gramEnd"/>
      <w:r>
        <w:t xml:space="preserve"> the alleged </w:t>
      </w:r>
      <w:r w:rsidR="00D42A84">
        <w:t>P</w:t>
      </w:r>
      <w:r>
        <w:t xml:space="preserve">olicy violations at any point during the Resolution Process. If the Respondent indicates an intent to accept responsibility for </w:t>
      </w:r>
      <w:r w:rsidRPr="000F5EEB">
        <w:rPr>
          <w:b/>
          <w:bCs/>
        </w:rPr>
        <w:t>all</w:t>
      </w:r>
      <w:r>
        <w:t xml:space="preserve"> alleged </w:t>
      </w:r>
      <w:r w:rsidR="00D715ED">
        <w:t>P</w:t>
      </w:r>
      <w:r>
        <w:t xml:space="preserve">olicy violations, the </w:t>
      </w:r>
      <w:r w:rsidR="00FB5B04">
        <w:t xml:space="preserve">ongoing </w:t>
      </w:r>
      <w:r>
        <w:t xml:space="preserve">process will be paused, and the </w:t>
      </w:r>
      <w:r w:rsidRPr="000F5EEB">
        <w:rPr>
          <w:highlight w:val="lightGray"/>
        </w:rPr>
        <w:t>Administrator</w:t>
      </w:r>
      <w:r>
        <w:t xml:space="preserve"> will determine whether Informal Resolution is an option.</w:t>
      </w:r>
      <w:r w:rsidR="00D42A84">
        <w:t xml:space="preserve"> </w:t>
      </w:r>
    </w:p>
    <w:p w14:paraId="0697FFC0" w14:textId="77777777" w:rsidR="009F5000" w:rsidRDefault="009F5000" w:rsidP="009F5000">
      <w:pPr>
        <w:ind w:left="1080"/>
      </w:pPr>
    </w:p>
    <w:p w14:paraId="6D8B695B" w14:textId="2623F4C2" w:rsidR="009F5000" w:rsidRDefault="009F5000" w:rsidP="000F5EEB">
      <w:pPr>
        <w:ind w:left="1080"/>
      </w:pPr>
      <w:r>
        <w:t xml:space="preserve">If Informal Resolution is available, the </w:t>
      </w:r>
      <w:r w:rsidRPr="000F5EEB">
        <w:rPr>
          <w:highlight w:val="lightGray"/>
        </w:rPr>
        <w:t>Administrator</w:t>
      </w:r>
      <w:r>
        <w:t xml:space="preserve"> will determine whether all </w:t>
      </w:r>
      <w:r w:rsidR="00D42A84">
        <w:t>P</w:t>
      </w:r>
      <w:r>
        <w:t xml:space="preserve">arties and the </w:t>
      </w:r>
      <w:r w:rsidRPr="00E90060">
        <w:rPr>
          <w:highlight w:val="lightGray"/>
        </w:rPr>
        <w:t>Recipient</w:t>
      </w:r>
      <w:r>
        <w:t xml:space="preserve"> are able to agree on responsibility, restrictions</w:t>
      </w:r>
      <w:r w:rsidR="003B0CA9">
        <w:t>, sanctions, restorative measures,</w:t>
      </w:r>
      <w:r>
        <w:t xml:space="preserve"> and/or remedies. If so, the </w:t>
      </w:r>
      <w:r w:rsidRPr="009F5000">
        <w:rPr>
          <w:highlight w:val="lightGray"/>
        </w:rPr>
        <w:t>Administrator</w:t>
      </w:r>
      <w:r>
        <w:t xml:space="preserve"> implements the accepted finding that the Respondent is in violation of </w:t>
      </w:r>
      <w:r w:rsidRPr="00E90060">
        <w:rPr>
          <w:highlight w:val="lightGray"/>
        </w:rPr>
        <w:t>Recipient</w:t>
      </w:r>
      <w:r>
        <w:t xml:space="preserve"> </w:t>
      </w:r>
      <w:r w:rsidR="00D715ED">
        <w:t>P</w:t>
      </w:r>
      <w:r>
        <w:t>olicy</w:t>
      </w:r>
      <w:r w:rsidR="00D07987">
        <w:t>,</w:t>
      </w:r>
      <w:r>
        <w:t xml:space="preserve"> implements agreed-upon restrictions and remedies</w:t>
      </w:r>
      <w:r w:rsidR="00B2431B">
        <w:t>,</w:t>
      </w:r>
      <w:r>
        <w:t xml:space="preserve"> and determines the appropriate </w:t>
      </w:r>
      <w:r w:rsidR="00D42A84">
        <w:t>responses</w:t>
      </w:r>
      <w:r>
        <w:t xml:space="preserve"> in coordination with other appropriate administrator(s), as necessary. </w:t>
      </w:r>
    </w:p>
    <w:p w14:paraId="1855A7E5" w14:textId="77777777" w:rsidR="009F5000" w:rsidRDefault="009F5000" w:rsidP="000F5EEB">
      <w:pPr>
        <w:ind w:left="1080"/>
      </w:pPr>
    </w:p>
    <w:p w14:paraId="2916BBF5" w14:textId="07782094" w:rsidR="009F5000" w:rsidRDefault="009F5000" w:rsidP="000F5EEB">
      <w:pPr>
        <w:ind w:left="1080"/>
      </w:pPr>
      <w:r>
        <w:lastRenderedPageBreak/>
        <w:t xml:space="preserve">This resolution is not subject to appeal once all </w:t>
      </w:r>
      <w:r w:rsidR="00D42A84">
        <w:t>P</w:t>
      </w:r>
      <w:r>
        <w:t xml:space="preserve">arties indicate their written agreement to all resolution terms. When the </w:t>
      </w:r>
      <w:r w:rsidR="00D42A84">
        <w:t>P</w:t>
      </w:r>
      <w:r>
        <w:t xml:space="preserve">arties cannot agree on all terms of resolution, the Resolution Process will </w:t>
      </w:r>
      <w:r w:rsidR="003B0CA9">
        <w:t xml:space="preserve">either continue or </w:t>
      </w:r>
      <w:r>
        <w:t>resume.</w:t>
      </w:r>
      <w:r>
        <w:rPr>
          <w:rStyle w:val="FootnoteReference"/>
        </w:rPr>
        <w:footnoteReference w:id="29"/>
      </w:r>
      <w:r>
        <w:t xml:space="preserve"> </w:t>
      </w:r>
    </w:p>
    <w:p w14:paraId="68356F95" w14:textId="77777777" w:rsidR="009F5000" w:rsidRDefault="009F5000" w:rsidP="000F5EEB">
      <w:pPr>
        <w:ind w:left="1080"/>
      </w:pPr>
    </w:p>
    <w:p w14:paraId="65068F34" w14:textId="660E977F" w:rsidR="009F5000" w:rsidRDefault="009F5000" w:rsidP="000F5EEB">
      <w:pPr>
        <w:ind w:left="1080"/>
      </w:pPr>
      <w:r>
        <w:t xml:space="preserve">When a resolution is </w:t>
      </w:r>
      <w:r w:rsidR="000F5EEB">
        <w:t>reached</w:t>
      </w:r>
      <w:r>
        <w:t>, the appropriate sanction(s) or responsive actions are promptly implemented to effectively stop the harassment or discrimination, prevent its recurrence, and remedy the effects of the discriminatory conduct, both on the Complainant and the community.</w:t>
      </w:r>
    </w:p>
    <w:p w14:paraId="5119570D" w14:textId="77777777" w:rsidR="009F5000" w:rsidRPr="00723E71" w:rsidRDefault="009F5000" w:rsidP="00723E71">
      <w:pPr>
        <w:rPr>
          <w:rFonts w:cs="Calibri"/>
          <w:b/>
          <w:bCs/>
        </w:rPr>
      </w:pPr>
    </w:p>
    <w:p w14:paraId="438144B9" w14:textId="770C7DCB" w:rsidR="008B67BF" w:rsidRDefault="008B67BF" w:rsidP="000F5EEB">
      <w:pPr>
        <w:pStyle w:val="Heading3"/>
      </w:pPr>
      <w:bookmarkStart w:id="96" w:name="_Alternative_Resolution_Approaches"/>
      <w:bookmarkStart w:id="97" w:name="_Toc82511665"/>
      <w:bookmarkStart w:id="98" w:name="_Toc102393987"/>
      <w:bookmarkStart w:id="99" w:name="_Toc168477544"/>
      <w:bookmarkEnd w:id="96"/>
      <w:r>
        <w:t>Alternative Resolution</w:t>
      </w:r>
      <w:bookmarkEnd w:id="97"/>
      <w:bookmarkEnd w:id="98"/>
      <w:bookmarkEnd w:id="99"/>
    </w:p>
    <w:p w14:paraId="372418A8" w14:textId="7ED2BF8B" w:rsidR="00723E71" w:rsidRDefault="00723E71" w:rsidP="00723E71"/>
    <w:p w14:paraId="3B4A4DA4" w14:textId="7C9E6A8F" w:rsidR="003D3AF8" w:rsidRDefault="003D3AF8" w:rsidP="00C63114">
      <w:pPr>
        <w:ind w:left="1080"/>
      </w:pPr>
      <w:r>
        <w:t xml:space="preserve">The institution offers a variety of </w:t>
      </w:r>
      <w:r w:rsidR="00723E71">
        <w:t>Alternative Resolution</w:t>
      </w:r>
      <w:r>
        <w:t xml:space="preserve"> </w:t>
      </w:r>
      <w:proofErr w:type="gramStart"/>
      <w:r>
        <w:t>mechanisms</w:t>
      </w:r>
      <w:proofErr w:type="gramEnd"/>
      <w:r>
        <w:t xml:space="preserve"> to best meet the specific needs of the </w:t>
      </w:r>
      <w:r w:rsidR="0028631C">
        <w:t>Parties</w:t>
      </w:r>
      <w:r>
        <w:t xml:space="preserve"> and the nature of the allegations. Alternative Resolution </w:t>
      </w:r>
      <w:r w:rsidRPr="003D1D46">
        <w:t>may involve agreement to pursue individual or community remedies, including targeted or broad-based educational programming or training; supported direct conversation or interaction with the Respondent</w:t>
      </w:r>
      <w:r>
        <w:t>(s)</w:t>
      </w:r>
      <w:r w:rsidRPr="003D1D46">
        <w:t xml:space="preserve">; indirect action by the </w:t>
      </w:r>
      <w:r w:rsidRPr="00C63114">
        <w:rPr>
          <w:highlight w:val="lightGray"/>
        </w:rPr>
        <w:t>Administrator</w:t>
      </w:r>
      <w:r w:rsidRPr="003D1D46">
        <w:t xml:space="preserve"> or other appropriate </w:t>
      </w:r>
      <w:r w:rsidRPr="00C63114">
        <w:rPr>
          <w:highlight w:val="lightGray"/>
        </w:rPr>
        <w:t>Recipient</w:t>
      </w:r>
      <w:r w:rsidRPr="003D1D46">
        <w:t xml:space="preserve"> officials; and other forms of resolution that can be tailored to the needs of the </w:t>
      </w:r>
      <w:r w:rsidR="00926035">
        <w:t>P</w:t>
      </w:r>
      <w:r w:rsidRPr="003D1D46">
        <w:t xml:space="preserve">arties. </w:t>
      </w:r>
      <w:r>
        <w:t>Some Alternative Resolution mechanisms will result in an agreed</w:t>
      </w:r>
      <w:r w:rsidR="004436A4">
        <w:t>-</w:t>
      </w:r>
      <w:r>
        <w:t xml:space="preserve">upon outcome, while others are resolved through dialogue. All </w:t>
      </w:r>
      <w:r w:rsidR="0028631C">
        <w:t>Parties</w:t>
      </w:r>
      <w:r>
        <w:t xml:space="preserve"> must consent to the use of an Alternative Resolution approach</w:t>
      </w:r>
      <w:r w:rsidR="00706A4D">
        <w:t>,</w:t>
      </w:r>
      <w:r w:rsidR="00CD0D66">
        <w:t xml:space="preserve"> and the </w:t>
      </w:r>
      <w:r w:rsidR="0028631C">
        <w:t>Parties</w:t>
      </w:r>
      <w:r w:rsidR="00CD0D66">
        <w:t xml:space="preserve"> may, but are not required to, have direct </w:t>
      </w:r>
      <w:r w:rsidR="00926035">
        <w:t xml:space="preserve">or indirect </w:t>
      </w:r>
      <w:r w:rsidR="00CD0D66">
        <w:t>contact during an Alternative Resolution process.</w:t>
      </w:r>
    </w:p>
    <w:p w14:paraId="3B2FC6D4" w14:textId="77777777" w:rsidR="00723E71" w:rsidRDefault="00723E71" w:rsidP="003D3AF8">
      <w:pPr>
        <w:ind w:left="1080"/>
      </w:pPr>
    </w:p>
    <w:p w14:paraId="32EB84EA" w14:textId="32339870" w:rsidR="00723E71" w:rsidRDefault="00723E71" w:rsidP="003D3AF8">
      <w:pPr>
        <w:ind w:left="1080"/>
      </w:pPr>
      <w:r>
        <w:t xml:space="preserve">The </w:t>
      </w:r>
      <w:r w:rsidR="003D3AF8" w:rsidRPr="00C63114">
        <w:rPr>
          <w:highlight w:val="lightGray"/>
        </w:rPr>
        <w:t>Administrator</w:t>
      </w:r>
      <w:r>
        <w:t xml:space="preserve"> may consider the following factors to assess whether Alternative Resolution is appropriate, or which form of Alternative Resolution may be most successful for the </w:t>
      </w:r>
      <w:r w:rsidR="00926035">
        <w:t>P</w:t>
      </w:r>
      <w:r>
        <w:t>arties:</w:t>
      </w:r>
    </w:p>
    <w:p w14:paraId="1056CCF1" w14:textId="77777777" w:rsidR="00723E71" w:rsidRDefault="00723E71" w:rsidP="00723E71">
      <w:pPr>
        <w:ind w:left="720"/>
      </w:pPr>
    </w:p>
    <w:p w14:paraId="6D00FB69" w14:textId="006BC2DA" w:rsidR="00723E71" w:rsidRDefault="00723E71" w:rsidP="005521DD">
      <w:pPr>
        <w:pStyle w:val="ListParagraph"/>
        <w:numPr>
          <w:ilvl w:val="0"/>
          <w:numId w:val="19"/>
        </w:numPr>
        <w:ind w:left="1800"/>
      </w:pPr>
      <w:r>
        <w:t xml:space="preserve">The </w:t>
      </w:r>
      <w:r w:rsidR="00926035">
        <w:t>P</w:t>
      </w:r>
      <w:r>
        <w:t xml:space="preserve">arties’ </w:t>
      </w:r>
      <w:proofErr w:type="gramStart"/>
      <w:r>
        <w:t>amenability</w:t>
      </w:r>
      <w:proofErr w:type="gramEnd"/>
      <w:r>
        <w:t xml:space="preserve"> to Alternative Resolution</w:t>
      </w:r>
    </w:p>
    <w:p w14:paraId="59B9DE62" w14:textId="411EE795" w:rsidR="00723E71" w:rsidRDefault="00723E71" w:rsidP="005521DD">
      <w:pPr>
        <w:pStyle w:val="ListParagraph"/>
        <w:numPr>
          <w:ilvl w:val="0"/>
          <w:numId w:val="19"/>
        </w:numPr>
        <w:ind w:left="1800"/>
      </w:pPr>
      <w:r>
        <w:t xml:space="preserve">Likelihood of potential resolution, </w:t>
      </w:r>
      <w:r w:rsidR="00D61557">
        <w:t>considering</w:t>
      </w:r>
      <w:r>
        <w:t xml:space="preserve"> any power dynamics between the </w:t>
      </w:r>
      <w:r w:rsidR="00926035">
        <w:t>P</w:t>
      </w:r>
      <w:r>
        <w:t xml:space="preserve">arties </w:t>
      </w:r>
    </w:p>
    <w:p w14:paraId="4A953D87" w14:textId="61167917" w:rsidR="00723E71" w:rsidRDefault="00723E71" w:rsidP="005521DD">
      <w:pPr>
        <w:pStyle w:val="ListParagraph"/>
        <w:numPr>
          <w:ilvl w:val="0"/>
          <w:numId w:val="19"/>
        </w:numPr>
        <w:ind w:left="1800"/>
      </w:pPr>
      <w:r>
        <w:t>The nature and severity of the alleged misconduct</w:t>
      </w:r>
    </w:p>
    <w:p w14:paraId="5A663B68" w14:textId="59A7166C" w:rsidR="00723E71" w:rsidRDefault="00723E71" w:rsidP="005521DD">
      <w:pPr>
        <w:pStyle w:val="ListParagraph"/>
        <w:numPr>
          <w:ilvl w:val="0"/>
          <w:numId w:val="19"/>
        </w:numPr>
        <w:ind w:left="1800"/>
      </w:pPr>
      <w:r>
        <w:t xml:space="preserve">The </w:t>
      </w:r>
      <w:r w:rsidR="00926035">
        <w:t>P</w:t>
      </w:r>
      <w:r>
        <w:t>arties’ motivation to participate</w:t>
      </w:r>
    </w:p>
    <w:p w14:paraId="1F01FD0B" w14:textId="7A1403A0" w:rsidR="00723E71" w:rsidRDefault="00723E71" w:rsidP="005521DD">
      <w:pPr>
        <w:pStyle w:val="ListParagraph"/>
        <w:numPr>
          <w:ilvl w:val="0"/>
          <w:numId w:val="19"/>
        </w:numPr>
        <w:ind w:left="1800"/>
      </w:pPr>
      <w:r>
        <w:t xml:space="preserve">Civility of the </w:t>
      </w:r>
      <w:r w:rsidR="00926035">
        <w:t>P</w:t>
      </w:r>
      <w:r>
        <w:t>arties</w:t>
      </w:r>
    </w:p>
    <w:p w14:paraId="2A5556EE" w14:textId="6C463755" w:rsidR="00723E71" w:rsidRDefault="00723E71" w:rsidP="005521DD">
      <w:pPr>
        <w:pStyle w:val="ListParagraph"/>
        <w:numPr>
          <w:ilvl w:val="0"/>
          <w:numId w:val="19"/>
        </w:numPr>
        <w:ind w:left="1800"/>
      </w:pPr>
      <w:r>
        <w:t>Results of a violence risk assessment/ongoing risk analysis</w:t>
      </w:r>
    </w:p>
    <w:p w14:paraId="26F4AA53" w14:textId="0A7B544E" w:rsidR="00723E71" w:rsidRDefault="003D3AF8" w:rsidP="005521DD">
      <w:pPr>
        <w:pStyle w:val="ListParagraph"/>
        <w:numPr>
          <w:ilvl w:val="0"/>
          <w:numId w:val="19"/>
        </w:numPr>
        <w:ind w:left="1800"/>
      </w:pPr>
      <w:r>
        <w:t>Respondent’s d</w:t>
      </w:r>
      <w:r w:rsidR="00723E71">
        <w:t>isciplinary history</w:t>
      </w:r>
    </w:p>
    <w:p w14:paraId="1336FF08" w14:textId="5309855A" w:rsidR="00723E71" w:rsidRDefault="00723E71" w:rsidP="005521DD">
      <w:pPr>
        <w:pStyle w:val="ListParagraph"/>
        <w:numPr>
          <w:ilvl w:val="0"/>
          <w:numId w:val="19"/>
        </w:numPr>
        <w:ind w:left="1800"/>
      </w:pPr>
      <w:r>
        <w:t xml:space="preserve">Whether an emergency removal </w:t>
      </w:r>
      <w:r w:rsidR="003D3AF8">
        <w:t xml:space="preserve">or other interim action </w:t>
      </w:r>
      <w:r>
        <w:t>is needed</w:t>
      </w:r>
    </w:p>
    <w:p w14:paraId="3FE29752" w14:textId="6CDBFB85" w:rsidR="00723E71" w:rsidRDefault="00723E71" w:rsidP="005521DD">
      <w:pPr>
        <w:pStyle w:val="ListParagraph"/>
        <w:numPr>
          <w:ilvl w:val="0"/>
          <w:numId w:val="19"/>
        </w:numPr>
        <w:ind w:left="1800"/>
      </w:pPr>
      <w:r>
        <w:t xml:space="preserve">Skill of the Alternative Resolution facilitator with this type of </w:t>
      </w:r>
      <w:r w:rsidR="00F240C0">
        <w:t>Complaint</w:t>
      </w:r>
    </w:p>
    <w:p w14:paraId="72D3EE37" w14:textId="558FF871" w:rsidR="00723E71" w:rsidRDefault="00723E71" w:rsidP="005521DD">
      <w:pPr>
        <w:pStyle w:val="ListParagraph"/>
        <w:numPr>
          <w:ilvl w:val="0"/>
          <w:numId w:val="19"/>
        </w:numPr>
        <w:ind w:left="1800"/>
      </w:pPr>
      <w:r>
        <w:t>Complaint complexity</w:t>
      </w:r>
    </w:p>
    <w:p w14:paraId="4766B47B" w14:textId="4E4D1AD2" w:rsidR="00723E71" w:rsidRDefault="00723E71" w:rsidP="005521DD">
      <w:pPr>
        <w:pStyle w:val="ListParagraph"/>
        <w:numPr>
          <w:ilvl w:val="0"/>
          <w:numId w:val="19"/>
        </w:numPr>
        <w:ind w:left="1800"/>
      </w:pPr>
      <w:r>
        <w:lastRenderedPageBreak/>
        <w:t xml:space="preserve">Emotional investment/capability of the </w:t>
      </w:r>
      <w:r w:rsidR="00926035">
        <w:t>P</w:t>
      </w:r>
      <w:r>
        <w:t>arties</w:t>
      </w:r>
    </w:p>
    <w:p w14:paraId="4A26C04E" w14:textId="7F0ACDB7" w:rsidR="00723E71" w:rsidRDefault="00723E71" w:rsidP="005521DD">
      <w:pPr>
        <w:pStyle w:val="ListParagraph"/>
        <w:numPr>
          <w:ilvl w:val="0"/>
          <w:numId w:val="19"/>
        </w:numPr>
        <w:ind w:left="1800"/>
      </w:pPr>
      <w:r>
        <w:t xml:space="preserve">Rationality of the </w:t>
      </w:r>
      <w:r w:rsidR="00926035">
        <w:t>P</w:t>
      </w:r>
      <w:r>
        <w:t>arties</w:t>
      </w:r>
    </w:p>
    <w:p w14:paraId="4BAC4036" w14:textId="5C82E71B" w:rsidR="00723E71" w:rsidRDefault="00723E71" w:rsidP="005521DD">
      <w:pPr>
        <w:pStyle w:val="ListParagraph"/>
        <w:numPr>
          <w:ilvl w:val="0"/>
          <w:numId w:val="19"/>
        </w:numPr>
        <w:ind w:left="1800"/>
      </w:pPr>
      <w:r>
        <w:t xml:space="preserve">Goals of the </w:t>
      </w:r>
      <w:r w:rsidR="00926035">
        <w:t>P</w:t>
      </w:r>
      <w:r>
        <w:t>arties</w:t>
      </w:r>
    </w:p>
    <w:p w14:paraId="2A282339" w14:textId="1ACBC1E5" w:rsidR="00723E71" w:rsidRDefault="00723E71" w:rsidP="005521DD">
      <w:pPr>
        <w:pStyle w:val="ListParagraph"/>
        <w:numPr>
          <w:ilvl w:val="0"/>
          <w:numId w:val="19"/>
        </w:numPr>
        <w:ind w:left="1800"/>
      </w:pPr>
      <w:r>
        <w:t>Adequate resources to invest in Alternative Resolution (</w:t>
      </w:r>
      <w:r w:rsidR="00CD5ACB">
        <w:t xml:space="preserve">e.g., </w:t>
      </w:r>
      <w:r>
        <w:t>time, staff, etc.)</w:t>
      </w:r>
    </w:p>
    <w:p w14:paraId="60DBFFBF" w14:textId="77777777" w:rsidR="00723E71" w:rsidRDefault="00723E71" w:rsidP="00723E71">
      <w:pPr>
        <w:ind w:left="720"/>
      </w:pPr>
    </w:p>
    <w:p w14:paraId="72EF2B82" w14:textId="2A1363DF" w:rsidR="00723E71" w:rsidRDefault="003D3AF8" w:rsidP="00C63114">
      <w:pPr>
        <w:ind w:left="1080"/>
      </w:pPr>
      <w:r>
        <w:t xml:space="preserve">The </w:t>
      </w:r>
      <w:r w:rsidRPr="00C63114">
        <w:rPr>
          <w:highlight w:val="lightGray"/>
        </w:rPr>
        <w:t>Administrator</w:t>
      </w:r>
      <w:r>
        <w:t xml:space="preserve"> has the authority to determine </w:t>
      </w:r>
      <w:r w:rsidR="00723E71">
        <w:t>whether Alternative Resolution is available or successful</w:t>
      </w:r>
      <w:r>
        <w:t xml:space="preserve">, </w:t>
      </w:r>
      <w:r w:rsidR="00723E71">
        <w:t xml:space="preserve">to facilitate a resolution that is acceptable to all </w:t>
      </w:r>
      <w:r w:rsidR="0028631C">
        <w:t>Parties</w:t>
      </w:r>
      <w:r w:rsidR="00723E71">
        <w:t xml:space="preserve">, and/or to accept </w:t>
      </w:r>
      <w:r>
        <w:t xml:space="preserve">the </w:t>
      </w:r>
      <w:r w:rsidR="004B724D">
        <w:t>P</w:t>
      </w:r>
      <w:r>
        <w:t xml:space="preserve">arties’ proposed </w:t>
      </w:r>
      <w:r w:rsidR="00723E71">
        <w:t>resolution</w:t>
      </w:r>
      <w:r>
        <w:t xml:space="preserve">, </w:t>
      </w:r>
      <w:r w:rsidR="00723E71">
        <w:t xml:space="preserve">usually through their Advisors, </w:t>
      </w:r>
      <w:r w:rsidR="004B724D">
        <w:t xml:space="preserve">often </w:t>
      </w:r>
      <w:r w:rsidR="00723E71">
        <w:t xml:space="preserve">including terms of confidentiality, release, and non-disparagement. </w:t>
      </w:r>
    </w:p>
    <w:p w14:paraId="5C65145C" w14:textId="77777777" w:rsidR="00723E71" w:rsidRDefault="00723E71" w:rsidP="00723E71">
      <w:pPr>
        <w:ind w:left="720"/>
      </w:pPr>
    </w:p>
    <w:p w14:paraId="01CEF67F" w14:textId="77777777" w:rsidR="003D3AF8" w:rsidRDefault="003D3AF8" w:rsidP="00C63114">
      <w:pPr>
        <w:ind w:left="1080"/>
      </w:pPr>
      <w:r>
        <w:t xml:space="preserve">Parties do not have the authority to stipulate restrictions or obligations for individuals or groups that are not involved in the Alternative Resolution process. The </w:t>
      </w:r>
      <w:r w:rsidRPr="00097511">
        <w:rPr>
          <w:highlight w:val="lightGray"/>
        </w:rPr>
        <w:t>Administrator</w:t>
      </w:r>
      <w:r>
        <w:t xml:space="preserve"> will determine whether additional individual or community remedies are necessary to meet the institution’s compliance obligations in addition to the Alternative Resolution. </w:t>
      </w:r>
    </w:p>
    <w:p w14:paraId="6AB50116" w14:textId="77777777" w:rsidR="003D3AF8" w:rsidRDefault="003D3AF8" w:rsidP="00723E71">
      <w:pPr>
        <w:ind w:left="720"/>
      </w:pPr>
    </w:p>
    <w:p w14:paraId="29E42C54" w14:textId="646AF28C" w:rsidR="00405B97" w:rsidRDefault="00723E71" w:rsidP="002961F9">
      <w:pPr>
        <w:ind w:left="1080"/>
      </w:pPr>
      <w:r>
        <w:t xml:space="preserve">The </w:t>
      </w:r>
      <w:r w:rsidR="004B724D" w:rsidRPr="00ED3CAB">
        <w:rPr>
          <w:highlight w:val="lightGray"/>
        </w:rPr>
        <w:t>Administrator</w:t>
      </w:r>
      <w:r>
        <w:t xml:space="preserve"> maintains records of any resolution that is reached and </w:t>
      </w:r>
      <w:r w:rsidR="00290AB3">
        <w:t>will provide noti</w:t>
      </w:r>
      <w:r w:rsidR="00F240C0">
        <w:t>fication</w:t>
      </w:r>
      <w:r w:rsidR="00290AB3">
        <w:t xml:space="preserve"> to the </w:t>
      </w:r>
      <w:r w:rsidR="00097511">
        <w:t>P</w:t>
      </w:r>
      <w:r w:rsidR="00290AB3">
        <w:t>arties of what information is maintained. F</w:t>
      </w:r>
      <w:r>
        <w:t xml:space="preserve">ailure to abide by the resolution agreement may result in appropriate responsive/disciplinary actions (e.g., </w:t>
      </w:r>
      <w:r w:rsidR="00097511">
        <w:t>dissolution of the Agreement and resumption of the</w:t>
      </w:r>
      <w:r>
        <w:t xml:space="preserve"> </w:t>
      </w:r>
      <w:r w:rsidR="00097511">
        <w:t>R</w:t>
      </w:r>
      <w:r>
        <w:t>esolution</w:t>
      </w:r>
      <w:r w:rsidR="00097511">
        <w:t xml:space="preserve"> Process</w:t>
      </w:r>
      <w:r>
        <w:t>, referral to the conduct process for failure to comply</w:t>
      </w:r>
      <w:r w:rsidR="00097511">
        <w:t>, application of the enforcement terms of the Agreement, etc</w:t>
      </w:r>
      <w:r w:rsidR="006232D3">
        <w:t>.</w:t>
      </w:r>
      <w:r>
        <w:t xml:space="preserve">). </w:t>
      </w:r>
      <w:r w:rsidR="00DB023E">
        <w:t xml:space="preserve">The results </w:t>
      </w:r>
      <w:r>
        <w:t xml:space="preserve">of </w:t>
      </w:r>
      <w:r w:rsidR="00F240C0">
        <w:t>Complaint</w:t>
      </w:r>
      <w:r>
        <w:t>s resolved by Alternative Resolution are not appealable.</w:t>
      </w:r>
      <w:bookmarkStart w:id="100" w:name="_Respondent_Accepts_Responsibility"/>
      <w:bookmarkEnd w:id="100"/>
    </w:p>
    <w:p w14:paraId="625C219D" w14:textId="77777777" w:rsidR="00405B97" w:rsidRDefault="00405B97" w:rsidP="002961F9">
      <w:pPr>
        <w:ind w:left="1080"/>
      </w:pPr>
    </w:p>
    <w:p w14:paraId="0B18E5C5" w14:textId="4CD7B9EE" w:rsidR="002961F9" w:rsidRDefault="00405B97" w:rsidP="00405B97">
      <w:pPr>
        <w:ind w:left="1080"/>
      </w:pPr>
      <w:r>
        <w:t xml:space="preserve">If an Informal Resolution option is not available or selected, the </w:t>
      </w:r>
      <w:r w:rsidRPr="0036450C">
        <w:rPr>
          <w:highlight w:val="lightGray"/>
        </w:rPr>
        <w:t>Recipient</w:t>
      </w:r>
      <w:r>
        <w:t xml:space="preserve"> will initiate or continue an investigation and subsequent Resolution</w:t>
      </w:r>
      <w:r w:rsidR="00097511">
        <w:t xml:space="preserve"> Process</w:t>
      </w:r>
      <w:r>
        <w:t xml:space="preserve"> to determine whether </w:t>
      </w:r>
      <w:r w:rsidRPr="00097511">
        <w:t xml:space="preserve">the </w:t>
      </w:r>
      <w:r w:rsidRPr="00ED3CAB">
        <w:t>Policy</w:t>
      </w:r>
      <w:r w:rsidR="00097511">
        <w:t xml:space="preserve"> </w:t>
      </w:r>
      <w:r>
        <w:t>has been violated.</w:t>
      </w:r>
    </w:p>
    <w:p w14:paraId="0690001E" w14:textId="77777777" w:rsidR="002453A8" w:rsidRDefault="002453A8" w:rsidP="002453A8"/>
    <w:p w14:paraId="2ADB343E" w14:textId="321CBE86" w:rsidR="002453A8" w:rsidRDefault="002453A8" w:rsidP="00ED3CAB">
      <w:pPr>
        <w:pStyle w:val="Heading2"/>
      </w:pPr>
      <w:bookmarkStart w:id="101" w:name="_Toc168477545"/>
      <w:r>
        <w:t xml:space="preserve">Administrative </w:t>
      </w:r>
      <w:r w:rsidR="00844750" w:rsidRPr="00ED3CAB">
        <w:rPr>
          <w:highlight w:val="lightGray"/>
        </w:rPr>
        <w:t>[Hearing]</w:t>
      </w:r>
      <w:r w:rsidR="00844750">
        <w:t xml:space="preserve"> </w:t>
      </w:r>
      <w:r>
        <w:t xml:space="preserve">Resolution Process (see </w:t>
      </w:r>
      <w:hyperlink w:anchor="_Administrative_Resolution_Process" w:history="1">
        <w:r w:rsidRPr="00D40284">
          <w:rPr>
            <w:rStyle w:val="Hyperlink"/>
          </w:rPr>
          <w:t>Section 22</w:t>
        </w:r>
      </w:hyperlink>
      <w:r>
        <w:t xml:space="preserve"> below)</w:t>
      </w:r>
      <w:bookmarkEnd w:id="101"/>
      <w:r w:rsidR="00F766D9">
        <w:br/>
      </w:r>
    </w:p>
    <w:p w14:paraId="02026B0F" w14:textId="65359E22" w:rsidR="008B67BF" w:rsidRDefault="002961F9" w:rsidP="00021C70">
      <w:pPr>
        <w:pStyle w:val="Heading1"/>
      </w:pPr>
      <w:bookmarkStart w:id="102" w:name="_Toc168477546"/>
      <w:r>
        <w:t>Resolution</w:t>
      </w:r>
      <w:r w:rsidR="008B67BF">
        <w:t xml:space="preserve"> Process</w:t>
      </w:r>
      <w:r w:rsidR="004D73D8">
        <w:t xml:space="preserve"> Pool</w:t>
      </w:r>
      <w:bookmarkEnd w:id="102"/>
    </w:p>
    <w:p w14:paraId="3F697BA7" w14:textId="77777777" w:rsidR="00773E09" w:rsidRDefault="00773E09" w:rsidP="00E90060"/>
    <w:p w14:paraId="5027E6AE" w14:textId="492DC2E0" w:rsidR="00E90060" w:rsidRPr="007C3B96" w:rsidRDefault="00E90060" w:rsidP="00E90060">
      <w:r w:rsidRPr="007C3B96">
        <w:t xml:space="preserve">The </w:t>
      </w:r>
      <w:r w:rsidR="00C27C60" w:rsidRPr="00ED3CAB">
        <w:t>Resolution</w:t>
      </w:r>
      <w:r w:rsidRPr="00ED3CAB">
        <w:t xml:space="preserve"> Process</w:t>
      </w:r>
      <w:r w:rsidRPr="007C3B96">
        <w:t xml:space="preserve"> relies on a pool of administrators (“the Pool”) to carry out the process.</w:t>
      </w:r>
      <w:r w:rsidR="00C27C60" w:rsidRPr="007C3B96">
        <w:rPr>
          <w:rStyle w:val="FootnoteReference"/>
        </w:rPr>
        <w:footnoteReference w:id="30"/>
      </w:r>
      <w:r w:rsidRPr="007C3B96">
        <w:t xml:space="preserve"> </w:t>
      </w:r>
    </w:p>
    <w:p w14:paraId="4F0B283E" w14:textId="77777777" w:rsidR="00E90060" w:rsidRPr="007C3B96" w:rsidRDefault="00E90060" w:rsidP="00E90060"/>
    <w:p w14:paraId="3F7F622D" w14:textId="76BE8796" w:rsidR="008B67BF" w:rsidRPr="007C3B96" w:rsidRDefault="008B67BF" w:rsidP="00CA2C40">
      <w:pPr>
        <w:pStyle w:val="Heading2"/>
      </w:pPr>
      <w:bookmarkStart w:id="103" w:name="_Toc82511668"/>
      <w:bookmarkStart w:id="104" w:name="_Toc102393990"/>
      <w:bookmarkStart w:id="105" w:name="_Toc168477547"/>
      <w:r w:rsidRPr="007C3B96">
        <w:t>Pool Member Roles</w:t>
      </w:r>
      <w:bookmarkEnd w:id="103"/>
      <w:bookmarkEnd w:id="104"/>
      <w:bookmarkEnd w:id="105"/>
    </w:p>
    <w:p w14:paraId="4BE1B432" w14:textId="2CCABE9E" w:rsidR="00E90060" w:rsidRPr="007C3B96" w:rsidRDefault="00E90060" w:rsidP="00E90060"/>
    <w:p w14:paraId="78E77D59" w14:textId="7DA5C274" w:rsidR="00E90060" w:rsidRPr="007C3B96" w:rsidRDefault="00E90060" w:rsidP="00E90060">
      <w:pPr>
        <w:ind w:left="720"/>
      </w:pPr>
      <w:r w:rsidRPr="007C3B96">
        <w:t xml:space="preserve">Members of the Pool are trained annually, and can serve in the following </w:t>
      </w:r>
      <w:r w:rsidRPr="00ED3CAB">
        <w:t xml:space="preserve">roles, at the discretion of the </w:t>
      </w:r>
      <w:r w:rsidR="00C27C60" w:rsidRPr="00FB5B04">
        <w:rPr>
          <w:highlight w:val="lightGray"/>
        </w:rPr>
        <w:t>Administrator</w:t>
      </w:r>
      <w:r w:rsidRPr="00ED3CAB">
        <w:t>:</w:t>
      </w:r>
    </w:p>
    <w:p w14:paraId="63C0B531" w14:textId="77777777" w:rsidR="00E90060" w:rsidRPr="007C3B96" w:rsidRDefault="00E90060" w:rsidP="00E90060">
      <w:pPr>
        <w:ind w:left="720"/>
      </w:pPr>
    </w:p>
    <w:p w14:paraId="72F40E5C" w14:textId="5B21D2AD" w:rsidR="00E90060" w:rsidRPr="00ED3CAB" w:rsidRDefault="00C27C60" w:rsidP="005521DD">
      <w:pPr>
        <w:pStyle w:val="ListParagraph"/>
        <w:numPr>
          <w:ilvl w:val="0"/>
          <w:numId w:val="20"/>
        </w:numPr>
      </w:pPr>
      <w:r w:rsidRPr="00ED3CAB">
        <w:t>A</w:t>
      </w:r>
      <w:r w:rsidR="00E90060" w:rsidRPr="00ED3CAB">
        <w:t xml:space="preserve">ppropriate intake of and initial guidance pertaining to </w:t>
      </w:r>
      <w:r w:rsidR="00F240C0" w:rsidRPr="006F6925">
        <w:t>Complaint</w:t>
      </w:r>
      <w:r w:rsidR="00E90060" w:rsidRPr="00ED3CAB">
        <w:t>s</w:t>
      </w:r>
    </w:p>
    <w:p w14:paraId="17D7DF67" w14:textId="6F442A12" w:rsidR="00E90060" w:rsidRPr="00ED3CAB" w:rsidRDefault="00E90060" w:rsidP="005521DD">
      <w:pPr>
        <w:pStyle w:val="ListParagraph"/>
        <w:numPr>
          <w:ilvl w:val="0"/>
          <w:numId w:val="20"/>
        </w:numPr>
      </w:pPr>
      <w:r w:rsidRPr="00ED3CAB">
        <w:t xml:space="preserve">Advisor to </w:t>
      </w:r>
      <w:r w:rsidR="0028631C" w:rsidRPr="006F6925">
        <w:t>Parties</w:t>
      </w:r>
    </w:p>
    <w:p w14:paraId="4FA22F2F" w14:textId="39D0BB6A" w:rsidR="00E90060" w:rsidRPr="00ED3CAB" w:rsidRDefault="00E90060" w:rsidP="005521DD">
      <w:pPr>
        <w:pStyle w:val="ListParagraph"/>
        <w:numPr>
          <w:ilvl w:val="0"/>
          <w:numId w:val="20"/>
        </w:numPr>
      </w:pPr>
      <w:r w:rsidRPr="00ED3CAB">
        <w:t xml:space="preserve">Informal Resolution </w:t>
      </w:r>
      <w:r w:rsidR="00C27C60" w:rsidRPr="00ED3CAB">
        <w:t>Facilitator</w:t>
      </w:r>
    </w:p>
    <w:p w14:paraId="1BF903D4" w14:textId="52A9A337" w:rsidR="00E90060" w:rsidRPr="00ED3CAB" w:rsidRDefault="00C27C60" w:rsidP="005521DD">
      <w:pPr>
        <w:pStyle w:val="ListParagraph"/>
        <w:numPr>
          <w:ilvl w:val="0"/>
          <w:numId w:val="20"/>
        </w:numPr>
      </w:pPr>
      <w:r w:rsidRPr="00ED3CAB">
        <w:lastRenderedPageBreak/>
        <w:t>P</w:t>
      </w:r>
      <w:r w:rsidR="00E90060" w:rsidRPr="00ED3CAB">
        <w:t xml:space="preserve">erform or assist with initial </w:t>
      </w:r>
      <w:r w:rsidR="007C3B96" w:rsidRPr="00ED3CAB">
        <w:t>evaluation</w:t>
      </w:r>
    </w:p>
    <w:p w14:paraId="3B14A91E" w14:textId="3D599088" w:rsidR="00E90060" w:rsidRPr="006F6925" w:rsidRDefault="00C27C60" w:rsidP="005521DD">
      <w:pPr>
        <w:pStyle w:val="ListParagraph"/>
        <w:numPr>
          <w:ilvl w:val="0"/>
          <w:numId w:val="20"/>
        </w:numPr>
      </w:pPr>
      <w:r w:rsidRPr="006F6925">
        <w:t>Investigator</w:t>
      </w:r>
    </w:p>
    <w:p w14:paraId="22A8BA38" w14:textId="5823194B" w:rsidR="00E90060" w:rsidRPr="006F6925" w:rsidRDefault="00C27C60" w:rsidP="005521DD">
      <w:pPr>
        <w:pStyle w:val="ListParagraph"/>
        <w:numPr>
          <w:ilvl w:val="0"/>
          <w:numId w:val="20"/>
        </w:numPr>
      </w:pPr>
      <w:r w:rsidRPr="00ED3CAB">
        <w:t>H</w:t>
      </w:r>
      <w:r w:rsidR="00E90060" w:rsidRPr="00ED3CAB">
        <w:t xml:space="preserve">earing </w:t>
      </w:r>
      <w:r w:rsidRPr="00ED3CAB">
        <w:t>F</w:t>
      </w:r>
      <w:r w:rsidR="00E90060" w:rsidRPr="00ED3CAB">
        <w:t>acilitator</w:t>
      </w:r>
    </w:p>
    <w:p w14:paraId="6EB8FAF8" w14:textId="49A543A7" w:rsidR="004F1960" w:rsidRPr="006F6925" w:rsidRDefault="004F1960" w:rsidP="005521DD">
      <w:pPr>
        <w:pStyle w:val="ListParagraph"/>
        <w:numPr>
          <w:ilvl w:val="0"/>
          <w:numId w:val="20"/>
        </w:numPr>
      </w:pPr>
      <w:r w:rsidRPr="006F6925">
        <w:t>Decision-</w:t>
      </w:r>
      <w:r w:rsidR="001C007D">
        <w:t>m</w:t>
      </w:r>
      <w:r w:rsidRPr="006F6925">
        <w:t>aker for challenges to emergency removal and supportive measures</w:t>
      </w:r>
    </w:p>
    <w:p w14:paraId="3DFCB369" w14:textId="36E2ED65" w:rsidR="00E90060" w:rsidRPr="006F6925" w:rsidRDefault="00E90060" w:rsidP="005521DD">
      <w:pPr>
        <w:pStyle w:val="ListParagraph"/>
        <w:numPr>
          <w:ilvl w:val="0"/>
          <w:numId w:val="20"/>
        </w:numPr>
      </w:pPr>
      <w:r w:rsidRPr="00ED3CAB">
        <w:t>Decision-maker</w:t>
      </w:r>
      <w:r w:rsidRPr="006F6925">
        <w:t xml:space="preserve"> </w:t>
      </w:r>
    </w:p>
    <w:p w14:paraId="6304704C" w14:textId="1E74B037" w:rsidR="004F1960" w:rsidRPr="006F6925" w:rsidRDefault="004F1960" w:rsidP="005521DD">
      <w:pPr>
        <w:pStyle w:val="ListParagraph"/>
        <w:numPr>
          <w:ilvl w:val="0"/>
          <w:numId w:val="20"/>
        </w:numPr>
      </w:pPr>
      <w:r w:rsidRPr="006F6925">
        <w:t>Appeal of Dismissal Decision-maker</w:t>
      </w:r>
    </w:p>
    <w:p w14:paraId="3C0A5FD4" w14:textId="558E2710" w:rsidR="00842A4B" w:rsidRPr="00ED3CAB" w:rsidRDefault="00E90060" w:rsidP="005521DD">
      <w:pPr>
        <w:pStyle w:val="ListParagraph"/>
        <w:numPr>
          <w:ilvl w:val="0"/>
          <w:numId w:val="20"/>
        </w:numPr>
        <w:spacing w:after="160" w:line="259" w:lineRule="auto"/>
      </w:pPr>
      <w:r w:rsidRPr="006F6925">
        <w:t>Appeal Decision-maker</w:t>
      </w:r>
      <w:bookmarkStart w:id="106" w:name="_Toc82511669"/>
      <w:bookmarkStart w:id="107" w:name="_Toc102393991"/>
    </w:p>
    <w:p w14:paraId="268C8D61" w14:textId="7D18D0AC" w:rsidR="008B67BF" w:rsidRPr="00ED3CAB" w:rsidRDefault="008B67BF" w:rsidP="00842A4B">
      <w:pPr>
        <w:pStyle w:val="Heading2"/>
      </w:pPr>
      <w:bookmarkStart w:id="108" w:name="_Toc168477548"/>
      <w:r w:rsidRPr="00ED3CAB">
        <w:t>Pool Member Appointment</w:t>
      </w:r>
      <w:bookmarkEnd w:id="106"/>
      <w:bookmarkEnd w:id="107"/>
      <w:bookmarkEnd w:id="108"/>
    </w:p>
    <w:p w14:paraId="12F54163" w14:textId="65DA1C8C" w:rsidR="00E90060" w:rsidRPr="00FB5B04" w:rsidRDefault="00E90060" w:rsidP="00E90060"/>
    <w:p w14:paraId="47E671DC" w14:textId="69651327" w:rsidR="00E90060" w:rsidRDefault="00E90060" w:rsidP="00223B1D">
      <w:pPr>
        <w:ind w:left="720"/>
      </w:pPr>
      <w:r w:rsidRPr="00ED3CAB">
        <w:t xml:space="preserve">The </w:t>
      </w:r>
      <w:r w:rsidR="00C27C60" w:rsidRPr="00AF4053">
        <w:rPr>
          <w:highlight w:val="lightGray"/>
        </w:rPr>
        <w:t>Administrator</w:t>
      </w:r>
      <w:r w:rsidR="00FB5B04" w:rsidRPr="00ED3CAB">
        <w:t>, in consultation with senior administrators as necessary,</w:t>
      </w:r>
      <w:r w:rsidRPr="00ED3CAB">
        <w:t xml:space="preserve"> appoints the Pool,</w:t>
      </w:r>
      <w:r w:rsidRPr="00FB5B04">
        <w:t xml:space="preserve"> which acts with independence and impartiality.</w:t>
      </w:r>
      <w:r w:rsidR="00C27C60" w:rsidRPr="00FB5B04">
        <w:rPr>
          <w:rStyle w:val="FootnoteReference"/>
        </w:rPr>
        <w:footnoteReference w:id="31"/>
      </w:r>
      <w:r w:rsidRPr="00FB5B04">
        <w:t xml:space="preserve"> </w:t>
      </w:r>
      <w:r w:rsidRPr="00ED3CAB">
        <w:t xml:space="preserve">Although members of the Pool are typically trained in a variety of skill sets and can rotate amongst the different roles listed above in different </w:t>
      </w:r>
      <w:r w:rsidR="00F240C0">
        <w:t>Complaint</w:t>
      </w:r>
      <w:r w:rsidR="00044BFD" w:rsidRPr="00ED3CAB">
        <w:t>s</w:t>
      </w:r>
      <w:r w:rsidRPr="00ED3CAB">
        <w:t xml:space="preserve">, the </w:t>
      </w:r>
      <w:r w:rsidRPr="0028631C">
        <w:rPr>
          <w:highlight w:val="lightGray"/>
        </w:rPr>
        <w:t>Recipient</w:t>
      </w:r>
      <w:r w:rsidRPr="00ED3CAB">
        <w:t xml:space="preserve"> can also designate permanent roles for individuals in the Pool</w:t>
      </w:r>
      <w:r w:rsidR="00C27C60" w:rsidRPr="00ED3CAB">
        <w:t>.</w:t>
      </w:r>
    </w:p>
    <w:p w14:paraId="648E0C7E" w14:textId="77777777" w:rsidR="002C22EC" w:rsidRDefault="002C22EC" w:rsidP="00223B1D">
      <w:pPr>
        <w:ind w:left="720"/>
      </w:pPr>
    </w:p>
    <w:p w14:paraId="7DD42FDD" w14:textId="5099AF51" w:rsidR="002C22EC" w:rsidRDefault="002C22EC" w:rsidP="00ED3CAB">
      <w:pPr>
        <w:pStyle w:val="Heading2"/>
      </w:pPr>
      <w:bookmarkStart w:id="109" w:name="_Toc168477549"/>
      <w:r>
        <w:t xml:space="preserve">Training (see </w:t>
      </w:r>
      <w:hyperlink w:anchor="_APPENDIX_J:_TRAINING" w:history="1">
        <w:r w:rsidRPr="00901191">
          <w:rPr>
            <w:rStyle w:val="Hyperlink"/>
          </w:rPr>
          <w:t>Appendix J</w:t>
        </w:r>
      </w:hyperlink>
      <w:r>
        <w:t xml:space="preserve"> for details of training for Pool Members)</w:t>
      </w:r>
      <w:bookmarkEnd w:id="109"/>
    </w:p>
    <w:p w14:paraId="5BE99120" w14:textId="77777777" w:rsidR="00E90060" w:rsidRPr="00E90060" w:rsidRDefault="00E90060" w:rsidP="00E90060"/>
    <w:p w14:paraId="2DDC7C01" w14:textId="2AD94E2E" w:rsidR="004D73D8" w:rsidRDefault="008B67BF" w:rsidP="00021C70">
      <w:pPr>
        <w:pStyle w:val="Heading1"/>
      </w:pPr>
      <w:bookmarkStart w:id="110" w:name="_Toc82511672"/>
      <w:bookmarkStart w:id="111" w:name="_Toc102393994"/>
      <w:bookmarkStart w:id="112" w:name="_Toc168477550"/>
      <w:r>
        <w:t>Notice of Investigation and Allegations</w:t>
      </w:r>
      <w:bookmarkEnd w:id="110"/>
      <w:bookmarkEnd w:id="111"/>
      <w:bookmarkEnd w:id="112"/>
    </w:p>
    <w:p w14:paraId="28049048" w14:textId="77777777" w:rsidR="00405B97" w:rsidRDefault="00405B97" w:rsidP="00880F46"/>
    <w:p w14:paraId="39F6C1DF" w14:textId="753F71FC" w:rsidR="000E53B0" w:rsidRDefault="007C3C01" w:rsidP="00880F46">
      <w:r>
        <w:t>Prior to a</w:t>
      </w:r>
      <w:r w:rsidR="00FB5B04">
        <w:t>n</w:t>
      </w:r>
      <w:r>
        <w:t xml:space="preserve"> investigation, t</w:t>
      </w:r>
      <w:r w:rsidR="00880F46">
        <w:t xml:space="preserve">he </w:t>
      </w:r>
      <w:r w:rsidR="00333C5D" w:rsidRPr="0036450C">
        <w:rPr>
          <w:highlight w:val="lightGray"/>
        </w:rPr>
        <w:t>Administrator</w:t>
      </w:r>
      <w:r w:rsidR="00880F46">
        <w:t xml:space="preserve"> will provide </w:t>
      </w:r>
      <w:r w:rsidR="00333C5D">
        <w:t xml:space="preserve">the </w:t>
      </w:r>
      <w:r w:rsidR="005E0273">
        <w:t>P</w:t>
      </w:r>
      <w:r w:rsidR="00333C5D">
        <w:t xml:space="preserve">arties with </w:t>
      </w:r>
      <w:r w:rsidR="000E53B0">
        <w:t xml:space="preserve">a detailed </w:t>
      </w:r>
      <w:r w:rsidR="00880F46">
        <w:t>written</w:t>
      </w:r>
      <w:r w:rsidR="00333C5D">
        <w:t xml:space="preserve"> </w:t>
      </w:r>
      <w:r w:rsidR="00880F46">
        <w:t>NOIA</w:t>
      </w:r>
      <w:r>
        <w:t>.</w:t>
      </w:r>
      <w:r w:rsidR="000E53B0">
        <w:t xml:space="preserve"> Amendments and updates to </w:t>
      </w:r>
      <w:proofErr w:type="gramStart"/>
      <w:r w:rsidR="000E53B0">
        <w:t>the NOIA</w:t>
      </w:r>
      <w:proofErr w:type="gramEnd"/>
      <w:r w:rsidR="000E53B0">
        <w:t xml:space="preserve"> may be made as the investigation progresses and more information becomes available regarding the addition or dismissal of various allegations. </w:t>
      </w:r>
      <w:r w:rsidR="00333C5D" w:rsidRPr="00ED3CAB">
        <w:t>For climate/culture investigations that do not have an identifiable Respondent, the NOIA will be sent to the department/office/program head for the area/program being investigated</w:t>
      </w:r>
      <w:r w:rsidR="00333C5D" w:rsidRPr="005E0273">
        <w:t>.</w:t>
      </w:r>
      <w:r w:rsidR="000E53B0">
        <w:t xml:space="preserve"> </w:t>
      </w:r>
    </w:p>
    <w:p w14:paraId="08824C08" w14:textId="77777777" w:rsidR="000E53B0" w:rsidRDefault="000E53B0" w:rsidP="00880F46"/>
    <w:p w14:paraId="31CA5491" w14:textId="03722278" w:rsidR="000E53B0" w:rsidRDefault="000E53B0" w:rsidP="000E53B0">
      <w:r>
        <w:t xml:space="preserve">The </w:t>
      </w:r>
      <w:r w:rsidR="005E0273">
        <w:t>NOIA</w:t>
      </w:r>
      <w:r>
        <w:t xml:space="preserve"> </w:t>
      </w:r>
      <w:r w:rsidR="00485B64">
        <w:t xml:space="preserve">typically </w:t>
      </w:r>
      <w:r>
        <w:t>include</w:t>
      </w:r>
      <w:r w:rsidR="005E0273">
        <w:t>s</w:t>
      </w:r>
      <w:r>
        <w:t>:</w:t>
      </w:r>
    </w:p>
    <w:p w14:paraId="4DD66AA3" w14:textId="77777777" w:rsidR="00485B64" w:rsidRDefault="00485B64" w:rsidP="00485B64"/>
    <w:p w14:paraId="3A1B1478" w14:textId="77777777" w:rsidR="000E53B0" w:rsidRPr="001F134E" w:rsidRDefault="000E53B0" w:rsidP="005521DD">
      <w:pPr>
        <w:pStyle w:val="ListParagraph"/>
        <w:numPr>
          <w:ilvl w:val="0"/>
          <w:numId w:val="21"/>
        </w:numPr>
      </w:pPr>
      <w:r w:rsidRPr="001F134E">
        <w:t>A meaningful summary of all allegations</w:t>
      </w:r>
    </w:p>
    <w:p w14:paraId="3BED189C" w14:textId="4CA11150" w:rsidR="000E53B0" w:rsidRPr="001F134E" w:rsidRDefault="000E53B0" w:rsidP="005521DD">
      <w:pPr>
        <w:pStyle w:val="ListParagraph"/>
        <w:numPr>
          <w:ilvl w:val="0"/>
          <w:numId w:val="21"/>
        </w:numPr>
      </w:pPr>
      <w:r w:rsidRPr="001F134E">
        <w:t xml:space="preserve">The identity of the involved </w:t>
      </w:r>
      <w:r w:rsidR="005E0273" w:rsidRPr="001F134E">
        <w:t>P</w:t>
      </w:r>
      <w:r w:rsidRPr="001F134E">
        <w:t>arties (if known)</w:t>
      </w:r>
    </w:p>
    <w:p w14:paraId="11D5EA6C" w14:textId="77777777" w:rsidR="000E53B0" w:rsidRPr="001F134E" w:rsidRDefault="000E53B0" w:rsidP="005521DD">
      <w:pPr>
        <w:pStyle w:val="ListParagraph"/>
        <w:numPr>
          <w:ilvl w:val="0"/>
          <w:numId w:val="21"/>
        </w:numPr>
      </w:pPr>
      <w:r w:rsidRPr="001F134E">
        <w:t>The precise misconduct being alleged</w:t>
      </w:r>
    </w:p>
    <w:p w14:paraId="568EEB3A" w14:textId="77777777" w:rsidR="000E53B0" w:rsidRPr="001F134E" w:rsidRDefault="000E53B0" w:rsidP="005521DD">
      <w:pPr>
        <w:pStyle w:val="ListParagraph"/>
        <w:numPr>
          <w:ilvl w:val="0"/>
          <w:numId w:val="21"/>
        </w:numPr>
      </w:pPr>
      <w:r w:rsidRPr="001F134E">
        <w:t>The date and location of the alleged incident(s) (if known)</w:t>
      </w:r>
    </w:p>
    <w:p w14:paraId="43E3008A" w14:textId="34AFEB37" w:rsidR="000E53B0" w:rsidRPr="001F134E" w:rsidRDefault="000E53B0" w:rsidP="005521DD">
      <w:pPr>
        <w:pStyle w:val="ListParagraph"/>
        <w:numPr>
          <w:ilvl w:val="0"/>
          <w:numId w:val="21"/>
        </w:numPr>
      </w:pPr>
      <w:r w:rsidRPr="001F134E">
        <w:t>The specific policies</w:t>
      </w:r>
      <w:r w:rsidR="005E0273" w:rsidRPr="001F134E">
        <w:t>/offenses</w:t>
      </w:r>
      <w:r w:rsidRPr="001F134E">
        <w:t xml:space="preserve"> implicated</w:t>
      </w:r>
    </w:p>
    <w:p w14:paraId="60269CEF" w14:textId="5A21FAFC" w:rsidR="001F134E" w:rsidRPr="001F134E" w:rsidRDefault="000E53B0" w:rsidP="005521DD">
      <w:pPr>
        <w:pStyle w:val="ListParagraph"/>
        <w:numPr>
          <w:ilvl w:val="0"/>
          <w:numId w:val="21"/>
        </w:numPr>
      </w:pPr>
      <w:r w:rsidRPr="001F134E">
        <w:t>A description of</w:t>
      </w:r>
      <w:r w:rsidR="00485B64" w:rsidRPr="001F134E">
        <w:t>, link to, or copy of</w:t>
      </w:r>
      <w:r w:rsidRPr="001F134E">
        <w:t xml:space="preserve"> the applicable procedures</w:t>
      </w:r>
    </w:p>
    <w:p w14:paraId="529724CB" w14:textId="2ECF7EFC" w:rsidR="000E53B0" w:rsidRPr="00ED3CAB" w:rsidRDefault="000E53B0" w:rsidP="005521DD">
      <w:pPr>
        <w:pStyle w:val="ListParagraph"/>
        <w:numPr>
          <w:ilvl w:val="0"/>
          <w:numId w:val="21"/>
        </w:numPr>
      </w:pPr>
      <w:r w:rsidRPr="001F134E">
        <w:t xml:space="preserve">A statement that the </w:t>
      </w:r>
      <w:r w:rsidR="005E0273" w:rsidRPr="001F134E">
        <w:t>P</w:t>
      </w:r>
      <w:r w:rsidRPr="001F134E">
        <w:t>arties are entitled to an equal opportunity to access the relevant and not otherwise impermissible evidence</w:t>
      </w:r>
    </w:p>
    <w:p w14:paraId="02E32DCF" w14:textId="5124027F" w:rsidR="00485B64" w:rsidRPr="001F134E" w:rsidRDefault="00485B64" w:rsidP="005521DD">
      <w:pPr>
        <w:pStyle w:val="ListParagraph"/>
        <w:numPr>
          <w:ilvl w:val="0"/>
          <w:numId w:val="21"/>
        </w:numPr>
      </w:pPr>
      <w:r w:rsidRPr="001F134E">
        <w:t xml:space="preserve">The name(s) of the Investigator(s), along with a process to identify to the </w:t>
      </w:r>
      <w:r w:rsidRPr="001F134E">
        <w:rPr>
          <w:highlight w:val="lightGray"/>
        </w:rPr>
        <w:t>Administrator</w:t>
      </w:r>
      <w:r w:rsidRPr="001F134E">
        <w:t>, in advance of the interview process, any conflict of interest that the Investigator(s) may have</w:t>
      </w:r>
    </w:p>
    <w:p w14:paraId="0B6B7277" w14:textId="77777777" w:rsidR="000E53B0" w:rsidRDefault="000E53B0" w:rsidP="005521DD">
      <w:pPr>
        <w:pStyle w:val="ListParagraph"/>
        <w:numPr>
          <w:ilvl w:val="0"/>
          <w:numId w:val="21"/>
        </w:numPr>
      </w:pPr>
      <w:r w:rsidRPr="001F134E">
        <w:t>A</w:t>
      </w:r>
      <w:r>
        <w:t xml:space="preserve"> statement that the </w:t>
      </w:r>
      <w:r w:rsidRPr="005E0273">
        <w:rPr>
          <w:highlight w:val="lightGray"/>
        </w:rPr>
        <w:t>Recipient</w:t>
      </w:r>
      <w:r>
        <w:t xml:space="preserve"> presumes the Respondent is not responsible for the reported misconduct unless and until the evidence supports a different determination</w:t>
      </w:r>
    </w:p>
    <w:p w14:paraId="3412F63B" w14:textId="4C256681" w:rsidR="000E53B0" w:rsidRDefault="000E53B0" w:rsidP="005521DD">
      <w:pPr>
        <w:pStyle w:val="ListParagraph"/>
        <w:numPr>
          <w:ilvl w:val="0"/>
          <w:numId w:val="21"/>
        </w:numPr>
      </w:pPr>
      <w:r>
        <w:lastRenderedPageBreak/>
        <w:t xml:space="preserve">A statement that determinations of responsibility are made at the conclusion of the process and that the </w:t>
      </w:r>
      <w:r w:rsidR="005E0273">
        <w:t>P</w:t>
      </w:r>
      <w:r>
        <w:t xml:space="preserve">arties will be given an opportunity during the review and comment period to inspect and review all relevant evidence </w:t>
      </w:r>
    </w:p>
    <w:p w14:paraId="567CF559" w14:textId="77777777" w:rsidR="000E53B0" w:rsidRDefault="000E53B0" w:rsidP="005521DD">
      <w:pPr>
        <w:pStyle w:val="ListParagraph"/>
        <w:numPr>
          <w:ilvl w:val="0"/>
          <w:numId w:val="21"/>
        </w:numPr>
      </w:pPr>
      <w:r>
        <w:t xml:space="preserve">A statement that retaliation is prohibited </w:t>
      </w:r>
    </w:p>
    <w:p w14:paraId="12DD2EDA" w14:textId="51DA4EC3" w:rsidR="000E53B0" w:rsidRDefault="000E53B0" w:rsidP="005521DD">
      <w:pPr>
        <w:pStyle w:val="ListParagraph"/>
        <w:numPr>
          <w:ilvl w:val="0"/>
          <w:numId w:val="21"/>
        </w:numPr>
      </w:pPr>
      <w:r>
        <w:t xml:space="preserve">Information about the confidentiality of the process, including that the Parties and their Advisors (if applicable) may not share </w:t>
      </w:r>
      <w:r w:rsidR="001F134E" w:rsidRPr="00AF4053">
        <w:rPr>
          <w:highlight w:val="lightGray"/>
        </w:rPr>
        <w:t>Recipient</w:t>
      </w:r>
      <w:r w:rsidR="001F134E">
        <w:t xml:space="preserve"> work product obtained through the Resolution Process</w:t>
      </w:r>
    </w:p>
    <w:p w14:paraId="4A5B1AAA" w14:textId="363150E2" w:rsidR="000E53B0" w:rsidRPr="00ED3CAB" w:rsidRDefault="000E53B0" w:rsidP="005521DD">
      <w:pPr>
        <w:pStyle w:val="ListParagraph"/>
        <w:numPr>
          <w:ilvl w:val="0"/>
          <w:numId w:val="21"/>
        </w:numPr>
      </w:pPr>
      <w:r w:rsidRPr="00ED3CAB">
        <w:t xml:space="preserve">A statement that the </w:t>
      </w:r>
      <w:r w:rsidR="0028631C" w:rsidRPr="00ED3CAB">
        <w:t>Parties</w:t>
      </w:r>
      <w:r w:rsidRPr="00ED3CAB">
        <w:t xml:space="preserve"> may have an Advisor of their choice </w:t>
      </w:r>
      <w:r w:rsidR="009113D3">
        <w:t xml:space="preserve">who </w:t>
      </w:r>
      <w:r w:rsidR="00222FE6">
        <w:t xml:space="preserve">may </w:t>
      </w:r>
      <w:r w:rsidRPr="00ED3CAB">
        <w:t>accompan</w:t>
      </w:r>
      <w:r w:rsidR="00222FE6">
        <w:t>y</w:t>
      </w:r>
      <w:r w:rsidR="009113D3">
        <w:t xml:space="preserve"> </w:t>
      </w:r>
      <w:r w:rsidRPr="00ED3CAB">
        <w:t xml:space="preserve">them </w:t>
      </w:r>
      <w:r w:rsidR="007C152D" w:rsidRPr="00ED3CAB">
        <w:t>through all steps of the Resolution Process</w:t>
      </w:r>
    </w:p>
    <w:p w14:paraId="33EFDB2D" w14:textId="50BB5658" w:rsidR="000E53B0" w:rsidRDefault="000E53B0" w:rsidP="005521DD">
      <w:pPr>
        <w:pStyle w:val="ListParagraph"/>
        <w:numPr>
          <w:ilvl w:val="0"/>
          <w:numId w:val="21"/>
        </w:numPr>
      </w:pPr>
      <w:r>
        <w:t xml:space="preserve">A statement informing the </w:t>
      </w:r>
      <w:r w:rsidR="0028631C">
        <w:t>Parties</w:t>
      </w:r>
      <w:r>
        <w:t xml:space="preserve"> that the </w:t>
      </w:r>
      <w:r w:rsidRPr="00880F46">
        <w:rPr>
          <w:highlight w:val="lightGray"/>
        </w:rPr>
        <w:t>Recipient</w:t>
      </w:r>
      <w:r>
        <w:t xml:space="preserve">’s </w:t>
      </w:r>
      <w:r w:rsidR="00D715ED">
        <w:t>P</w:t>
      </w:r>
      <w:r>
        <w:t>olicy prohibits knowingly making false statements, including knowingly submitting false information during the Resolution Process</w:t>
      </w:r>
    </w:p>
    <w:p w14:paraId="13B8132F" w14:textId="3DEC6003" w:rsidR="000E53B0" w:rsidRDefault="000E53B0" w:rsidP="005521DD">
      <w:pPr>
        <w:pStyle w:val="ListParagraph"/>
        <w:numPr>
          <w:ilvl w:val="0"/>
          <w:numId w:val="21"/>
        </w:numPr>
      </w:pPr>
      <w:r>
        <w:t xml:space="preserve">Detail on how </w:t>
      </w:r>
      <w:r w:rsidR="001F134E">
        <w:t>a</w:t>
      </w:r>
      <w:r>
        <w:t xml:space="preserve"> party may request disability </w:t>
      </w:r>
      <w:proofErr w:type="gramStart"/>
      <w:r>
        <w:t>accommodations</w:t>
      </w:r>
      <w:proofErr w:type="gramEnd"/>
      <w:r>
        <w:t xml:space="preserve"> during the Resolution Process</w:t>
      </w:r>
    </w:p>
    <w:p w14:paraId="17C4B0A4" w14:textId="26A55C16" w:rsidR="000E53B0" w:rsidRPr="00ED3CAB" w:rsidRDefault="000E53B0" w:rsidP="005521DD">
      <w:pPr>
        <w:pStyle w:val="ListParagraph"/>
        <w:numPr>
          <w:ilvl w:val="0"/>
          <w:numId w:val="21"/>
        </w:numPr>
      </w:pPr>
      <w:r w:rsidRPr="00ED3CAB">
        <w:t xml:space="preserve">A link to the </w:t>
      </w:r>
      <w:r w:rsidRPr="00AF4053">
        <w:rPr>
          <w:highlight w:val="lightGray"/>
        </w:rPr>
        <w:t>Recipient</w:t>
      </w:r>
      <w:r w:rsidRPr="00ED3CAB">
        <w:t>’s VAWA Brochure</w:t>
      </w:r>
    </w:p>
    <w:p w14:paraId="335BD966" w14:textId="1CF8B67C" w:rsidR="000E53B0" w:rsidRDefault="000E53B0" w:rsidP="005521DD">
      <w:pPr>
        <w:pStyle w:val="ListParagraph"/>
        <w:numPr>
          <w:ilvl w:val="0"/>
          <w:numId w:val="21"/>
        </w:numPr>
      </w:pPr>
      <w:r>
        <w:t>An instruction to preserve any evidence that is directly related to the allegations</w:t>
      </w:r>
    </w:p>
    <w:p w14:paraId="095B5582" w14:textId="77034C1A" w:rsidR="00485B64" w:rsidRPr="00F539C8" w:rsidRDefault="00485B64" w:rsidP="005521DD">
      <w:pPr>
        <w:pStyle w:val="ListParagraph"/>
        <w:numPr>
          <w:ilvl w:val="0"/>
          <w:numId w:val="21"/>
        </w:numPr>
        <w:rPr>
          <w:highlight w:val="lightGray"/>
        </w:rPr>
      </w:pPr>
      <w:r>
        <w:rPr>
          <w:highlight w:val="lightGray"/>
        </w:rPr>
        <w:t xml:space="preserve">[A statement that Parties who are members of a union are entitled to union representation throughout the process] </w:t>
      </w:r>
    </w:p>
    <w:p w14:paraId="688E9BA8" w14:textId="77777777" w:rsidR="000E53B0" w:rsidRDefault="000E53B0" w:rsidP="00880F46"/>
    <w:p w14:paraId="508A9AF9" w14:textId="39EF94FB" w:rsidR="00880F46" w:rsidRDefault="00880F46" w:rsidP="00880F46">
      <w:r>
        <w:t>Noti</w:t>
      </w:r>
      <w:r w:rsidR="00F240C0">
        <w:t>fication</w:t>
      </w:r>
      <w:r>
        <w:t xml:space="preserve"> will be made in writing and may be delivered by one or more of the following methods: in person</w:t>
      </w:r>
      <w:r w:rsidRPr="001F134E">
        <w:t xml:space="preserve">, </w:t>
      </w:r>
      <w:r w:rsidRPr="00ED3CAB">
        <w:t xml:space="preserve">mailed to the local or permanent address(es) of the </w:t>
      </w:r>
      <w:r w:rsidR="0028631C">
        <w:t>Parties</w:t>
      </w:r>
      <w:r w:rsidRPr="00ED3CAB">
        <w:t xml:space="preserve"> as indicated in official </w:t>
      </w:r>
      <w:r w:rsidRPr="00AF4053">
        <w:rPr>
          <w:highlight w:val="lightGray"/>
        </w:rPr>
        <w:t>Recipient</w:t>
      </w:r>
      <w:r w:rsidRPr="00ED3CAB">
        <w:t xml:space="preserve"> records,</w:t>
      </w:r>
      <w:r w:rsidRPr="001F134E">
        <w:t xml:space="preserve"> or</w:t>
      </w:r>
      <w:r>
        <w:t xml:space="preserve"> emailed to the </w:t>
      </w:r>
      <w:r w:rsidR="0028631C">
        <w:t>Parties</w:t>
      </w:r>
      <w:r>
        <w:t xml:space="preserve">’ </w:t>
      </w:r>
      <w:r w:rsidRPr="00A95FCA">
        <w:rPr>
          <w:highlight w:val="lightGray"/>
        </w:rPr>
        <w:t>Recipient</w:t>
      </w:r>
      <w:r>
        <w:t>-issued email or designated accounts. Once mailed, emailed, and/or received in</w:t>
      </w:r>
      <w:r w:rsidR="00845816">
        <w:t xml:space="preserve"> </w:t>
      </w:r>
      <w:r>
        <w:t xml:space="preserve">person, </w:t>
      </w:r>
      <w:r w:rsidR="00F240C0">
        <w:t xml:space="preserve">the notification </w:t>
      </w:r>
      <w:r>
        <w:t>will be presumptively delivered.</w:t>
      </w:r>
    </w:p>
    <w:p w14:paraId="4F97D21E" w14:textId="77777777" w:rsidR="00880F46" w:rsidRPr="00880F46" w:rsidRDefault="00880F46" w:rsidP="00880F46"/>
    <w:p w14:paraId="091B409C" w14:textId="14647FC4" w:rsidR="004D73D8" w:rsidRDefault="004D73D8" w:rsidP="00021C70">
      <w:pPr>
        <w:pStyle w:val="Heading1"/>
      </w:pPr>
      <w:bookmarkStart w:id="113" w:name="_Toc82511673"/>
      <w:bookmarkStart w:id="114" w:name="_Toc102393995"/>
      <w:bookmarkStart w:id="115" w:name="_Toc168477551"/>
      <w:r>
        <w:t>Resolution Timeline</w:t>
      </w:r>
      <w:bookmarkEnd w:id="113"/>
      <w:bookmarkEnd w:id="114"/>
      <w:bookmarkEnd w:id="115"/>
      <w:r w:rsidR="00333C5D">
        <w:t xml:space="preserve"> </w:t>
      </w:r>
    </w:p>
    <w:p w14:paraId="756645EE" w14:textId="6F95A87B" w:rsidR="00880F46" w:rsidRDefault="00880F46" w:rsidP="00880F46"/>
    <w:p w14:paraId="2729A85B" w14:textId="34D30D41" w:rsidR="003B288F" w:rsidRDefault="00880F46" w:rsidP="004E2B12">
      <w:proofErr w:type="gramStart"/>
      <w:r w:rsidRPr="00880F46">
        <w:rPr>
          <w:highlight w:val="lightGray"/>
        </w:rPr>
        <w:t>Recipient</w:t>
      </w:r>
      <w:proofErr w:type="gramEnd"/>
      <w:r w:rsidRPr="00880F46">
        <w:t xml:space="preserve"> will make a good faith effort to complete the Resolution Process within </w:t>
      </w:r>
      <w:r w:rsidRPr="005D08D7">
        <w:rPr>
          <w:highlight w:val="lightGray"/>
        </w:rPr>
        <w:t>sixty to ninety (60-90) business</w:t>
      </w:r>
      <w:r w:rsidR="00103A03" w:rsidRPr="005D08D7">
        <w:rPr>
          <w:highlight w:val="lightGray"/>
        </w:rPr>
        <w:t xml:space="preserve"> </w:t>
      </w:r>
      <w:r w:rsidRPr="005D08D7">
        <w:rPr>
          <w:highlight w:val="lightGray"/>
        </w:rPr>
        <w:t>day</w:t>
      </w:r>
      <w:r w:rsidR="00103A03" w:rsidRPr="005D08D7">
        <w:rPr>
          <w:highlight w:val="lightGray"/>
        </w:rPr>
        <w:t>s</w:t>
      </w:r>
      <w:r w:rsidR="00103A03">
        <w:t xml:space="preserve">, </w:t>
      </w:r>
      <w:r w:rsidRPr="00880F46">
        <w:t xml:space="preserve">including </w:t>
      </w:r>
      <w:r w:rsidR="00333C5D">
        <w:t xml:space="preserve">any </w:t>
      </w:r>
      <w:r w:rsidRPr="00880F46">
        <w:t>appeal</w:t>
      </w:r>
      <w:r w:rsidR="00333C5D">
        <w:t>s</w:t>
      </w:r>
      <w:r w:rsidR="00103A03">
        <w:t xml:space="preserve">, </w:t>
      </w:r>
      <w:r w:rsidRPr="00880F46">
        <w:t xml:space="preserve">which can be extended as necessary for appropriate cause by the </w:t>
      </w:r>
      <w:r w:rsidR="00333C5D" w:rsidRPr="0036450C">
        <w:rPr>
          <w:highlight w:val="lightGray"/>
        </w:rPr>
        <w:t>Administrator</w:t>
      </w:r>
      <w:r w:rsidR="00333C5D">
        <w:t xml:space="preserve">. The </w:t>
      </w:r>
      <w:r w:rsidR="0028631C">
        <w:t>Parties</w:t>
      </w:r>
      <w:r w:rsidRPr="00880F46">
        <w:t xml:space="preserve"> will </w:t>
      </w:r>
      <w:r w:rsidR="003B288F">
        <w:t>receive</w:t>
      </w:r>
      <w:r w:rsidR="003B288F" w:rsidRPr="00880F46">
        <w:t xml:space="preserve"> </w:t>
      </w:r>
      <w:r w:rsidR="00223B1D">
        <w:t xml:space="preserve">regular updates on the progress of the Resolution Process, as well as </w:t>
      </w:r>
      <w:r w:rsidRPr="00880F46">
        <w:t>noti</w:t>
      </w:r>
      <w:r w:rsidR="00F240C0">
        <w:t>fication</w:t>
      </w:r>
      <w:r w:rsidRPr="00880F46">
        <w:t xml:space="preserve"> and </w:t>
      </w:r>
      <w:r w:rsidR="003B288F">
        <w:t xml:space="preserve">a </w:t>
      </w:r>
      <w:r w:rsidRPr="00880F46">
        <w:t>rationale for any extensions or delays</w:t>
      </w:r>
      <w:r w:rsidR="003B288F">
        <w:t xml:space="preserve">, </w:t>
      </w:r>
      <w:r w:rsidR="00223B1D">
        <w:t>and</w:t>
      </w:r>
      <w:r w:rsidRPr="00880F46">
        <w:t xml:space="preserve"> an estimate of how much additional time will be needed to complete the process.</w:t>
      </w:r>
      <w:bookmarkStart w:id="116" w:name="_Toc82511674"/>
    </w:p>
    <w:p w14:paraId="422E9195" w14:textId="77777777" w:rsidR="003B288F" w:rsidRDefault="003B288F" w:rsidP="004E2B12"/>
    <w:p w14:paraId="005A32BB" w14:textId="2DD1A55E" w:rsidR="003B288F" w:rsidRDefault="003B288F" w:rsidP="003B288F">
      <w:r>
        <w:t xml:space="preserve">Investigations are completed expeditiously, normally within </w:t>
      </w:r>
      <w:r w:rsidRPr="005D08D7">
        <w:rPr>
          <w:highlight w:val="lightGray"/>
        </w:rPr>
        <w:t>sixty (60) business days</w:t>
      </w:r>
      <w:r>
        <w:t xml:space="preserve">, though some investigations may take </w:t>
      </w:r>
      <w:r w:rsidR="00485B64">
        <w:t>longer</w:t>
      </w:r>
      <w:r>
        <w:t>, depending on</w:t>
      </w:r>
      <w:r w:rsidR="00223B1D">
        <w:t xml:space="preserve"> issues such as</w:t>
      </w:r>
      <w:r>
        <w:t xml:space="preserve"> the nature, extent, and complexity of the allegations, witness availability, law enforcement involvement, and other factors. </w:t>
      </w:r>
    </w:p>
    <w:p w14:paraId="1F58D181" w14:textId="77777777" w:rsidR="003B288F" w:rsidRDefault="003B288F" w:rsidP="003B288F"/>
    <w:p w14:paraId="64A987DE" w14:textId="48F7503A" w:rsidR="003B288F" w:rsidRDefault="003B288F" w:rsidP="003B288F">
      <w:r w:rsidRPr="00FC50CA">
        <w:t xml:space="preserve">If a party or witness chooses not to participate in the </w:t>
      </w:r>
      <w:r>
        <w:t>Resolution Process</w:t>
      </w:r>
      <w:r w:rsidRPr="00FC50CA">
        <w:t xml:space="preserve"> or becomes unresponsive, the </w:t>
      </w:r>
      <w:r w:rsidRPr="0036450C">
        <w:rPr>
          <w:highlight w:val="lightGray"/>
        </w:rPr>
        <w:t>Recipient</w:t>
      </w:r>
      <w:r w:rsidRPr="00FC50CA">
        <w:t xml:space="preserve"> reserves the right to continue </w:t>
      </w:r>
      <w:r w:rsidR="00A02D01">
        <w:t>it</w:t>
      </w:r>
      <w:r>
        <w:t xml:space="preserve"> </w:t>
      </w:r>
      <w:r w:rsidRPr="00FC50CA">
        <w:t>without their participation</w:t>
      </w:r>
      <w:r>
        <w:t xml:space="preserve"> to ensure a prompt resolution</w:t>
      </w:r>
      <w:r w:rsidRPr="00FC50CA">
        <w:t xml:space="preserve">. </w:t>
      </w:r>
      <w:r>
        <w:t xml:space="preserve">Non-participatory or unresponsive </w:t>
      </w:r>
      <w:r w:rsidR="001F134E">
        <w:t>P</w:t>
      </w:r>
      <w:r>
        <w:t>arties</w:t>
      </w:r>
      <w:r w:rsidRPr="00FC50CA">
        <w:t xml:space="preserve"> </w:t>
      </w:r>
      <w:r>
        <w:t xml:space="preserve">retain </w:t>
      </w:r>
      <w:r w:rsidRPr="00FC50CA">
        <w:t xml:space="preserve">the rights outlined in this </w:t>
      </w:r>
      <w:r w:rsidRPr="007C152D">
        <w:t xml:space="preserve">Policy </w:t>
      </w:r>
      <w:r w:rsidRPr="00ED3CAB">
        <w:t xml:space="preserve">and the opportunity to participate in the </w:t>
      </w:r>
      <w:r w:rsidR="007C152D" w:rsidRPr="007C152D">
        <w:t>Resolution Process.</w:t>
      </w:r>
    </w:p>
    <w:p w14:paraId="5EB882B9" w14:textId="77777777" w:rsidR="003B288F" w:rsidRDefault="003B288F" w:rsidP="003B288F"/>
    <w:p w14:paraId="27F108E4" w14:textId="36775A67" w:rsidR="003B288F" w:rsidRDefault="003B288F" w:rsidP="003B288F">
      <w:r>
        <w:lastRenderedPageBreak/>
        <w:t xml:space="preserve">The </w:t>
      </w:r>
      <w:r w:rsidRPr="00880F46">
        <w:rPr>
          <w:highlight w:val="lightGray"/>
        </w:rPr>
        <w:t>Recipient</w:t>
      </w:r>
      <w:r>
        <w:t xml:space="preserve"> may undertake a short delay in </w:t>
      </w:r>
      <w:proofErr w:type="gramStart"/>
      <w:r>
        <w:t>its</w:t>
      </w:r>
      <w:proofErr w:type="gramEnd"/>
      <w:r>
        <w:t xml:space="preserve"> investigation (several days to a few weeks) if circumstances require. Such circumstances include but are not limited to a request from law enforcement to delay the investigation</w:t>
      </w:r>
      <w:r w:rsidR="00505DD0">
        <w:t xml:space="preserve"> temporarily</w:t>
      </w:r>
      <w:r>
        <w:t xml:space="preserve">, the need for language assistance, the absence of </w:t>
      </w:r>
      <w:r w:rsidR="0028631C">
        <w:t>Parties</w:t>
      </w:r>
      <w:r>
        <w:t xml:space="preserve"> and/or witnesses, and/or health conditions. The </w:t>
      </w:r>
      <w:r w:rsidRPr="00880F46">
        <w:rPr>
          <w:highlight w:val="lightGray"/>
        </w:rPr>
        <w:t>Recipient</w:t>
      </w:r>
      <w:r>
        <w:t xml:space="preserve"> will promptly resume its Resolution Process as soon as feasible. During such a delay, </w:t>
      </w:r>
      <w:r w:rsidRPr="00880F46">
        <w:rPr>
          <w:highlight w:val="lightGray"/>
        </w:rPr>
        <w:t>Recipient</w:t>
      </w:r>
      <w:r>
        <w:t xml:space="preserve"> will implement</w:t>
      </w:r>
      <w:r w:rsidR="00223B1D">
        <w:t xml:space="preserve"> and maintain</w:t>
      </w:r>
      <w:r>
        <w:t xml:space="preserve"> supportive measures </w:t>
      </w:r>
      <w:r w:rsidR="00223B1D">
        <w:t xml:space="preserve">for the </w:t>
      </w:r>
      <w:r w:rsidR="00581C03">
        <w:t>P</w:t>
      </w:r>
      <w:r w:rsidR="00223B1D">
        <w:t xml:space="preserve">arties </w:t>
      </w:r>
      <w:r>
        <w:t xml:space="preserve">as deemed appropriate. </w:t>
      </w:r>
    </w:p>
    <w:p w14:paraId="64EEDDE8" w14:textId="77777777" w:rsidR="003B288F" w:rsidRDefault="003B288F" w:rsidP="003B288F"/>
    <w:p w14:paraId="3AC3E745" w14:textId="77777777" w:rsidR="003B288F" w:rsidRDefault="003B288F" w:rsidP="003B288F">
      <w:r w:rsidRPr="00880F46">
        <w:rPr>
          <w:highlight w:val="lightGray"/>
        </w:rPr>
        <w:t>Recipient</w:t>
      </w:r>
      <w:r>
        <w:t xml:space="preserve"> action(s) or processes are not typically altered or precluded on the grounds that civil or criminal charges involving the underlying incident(s) have been filed or that criminal charges have been dismissed or reduced.</w:t>
      </w:r>
    </w:p>
    <w:p w14:paraId="2DF911D6" w14:textId="77777777" w:rsidR="003B288F" w:rsidRDefault="003B288F" w:rsidP="003B288F"/>
    <w:p w14:paraId="38D8CDBE" w14:textId="47896CA5" w:rsidR="00F813F2" w:rsidRDefault="003B288F" w:rsidP="003B288F">
      <w:r>
        <w:t xml:space="preserve">The </w:t>
      </w:r>
      <w:r w:rsidRPr="00880F46">
        <w:rPr>
          <w:highlight w:val="lightGray"/>
        </w:rPr>
        <w:t>Recipient</w:t>
      </w:r>
      <w:r>
        <w:t xml:space="preserve"> will make a good faith effort to complete the Resolution Process as promptly as circumstances permit and will communicate regularly with the </w:t>
      </w:r>
      <w:r w:rsidR="0028631C">
        <w:t>Parties</w:t>
      </w:r>
      <w:r>
        <w:t xml:space="preserve"> to update them on the progress and timing of the process.</w:t>
      </w:r>
    </w:p>
    <w:p w14:paraId="313E534F" w14:textId="77777777" w:rsidR="003B288F" w:rsidRDefault="003B288F" w:rsidP="004E2B12"/>
    <w:p w14:paraId="28CFDACF" w14:textId="77777777" w:rsidR="003B288F" w:rsidRDefault="003B288F" w:rsidP="00021C70">
      <w:pPr>
        <w:pStyle w:val="Heading1"/>
      </w:pPr>
      <w:bookmarkStart w:id="117" w:name="_Toc168477552"/>
      <w:r>
        <w:t>Ensuring Impartiality</w:t>
      </w:r>
      <w:bookmarkEnd w:id="117"/>
    </w:p>
    <w:p w14:paraId="4909FC82" w14:textId="77777777" w:rsidR="003B288F" w:rsidRDefault="003B288F" w:rsidP="003B288F"/>
    <w:p w14:paraId="1F28E1BE" w14:textId="4A055A19" w:rsidR="003B288F" w:rsidRDefault="003B288F" w:rsidP="003B288F">
      <w:r w:rsidRPr="00581C03">
        <w:t>Any individual materially involved in the administration of the Resolution Process</w:t>
      </w:r>
      <w:r w:rsidR="00F9041B">
        <w:t>,</w:t>
      </w:r>
      <w:r w:rsidRPr="00581C03">
        <w:t xml:space="preserve"> </w:t>
      </w:r>
      <w:r w:rsidRPr="00ED3CAB">
        <w:t xml:space="preserve">including the </w:t>
      </w:r>
      <w:r w:rsidR="00581C03" w:rsidRPr="00581C03">
        <w:rPr>
          <w:highlight w:val="lightGray"/>
        </w:rPr>
        <w:t>Administrator</w:t>
      </w:r>
      <w:r w:rsidRPr="00ED3CAB">
        <w:t>, Investigator(s), and Decision-maker(s)</w:t>
      </w:r>
      <w:r w:rsidR="008A7762">
        <w:t>,</w:t>
      </w:r>
      <w:r w:rsidRPr="00581C03">
        <w:t xml:space="preserve"> may n</w:t>
      </w:r>
      <w:r>
        <w:t>either have nor demonstrate a conflict of interest or bias for a party generally, or for a specific Complainant or Respondent.</w:t>
      </w:r>
    </w:p>
    <w:p w14:paraId="7E68F9AE" w14:textId="77777777" w:rsidR="003B288F" w:rsidRDefault="003B288F" w:rsidP="003B288F"/>
    <w:p w14:paraId="1C3F893D" w14:textId="125B5A9D" w:rsidR="003B288F" w:rsidRDefault="003B288F" w:rsidP="003B288F">
      <w:r>
        <w:t xml:space="preserve">The </w:t>
      </w:r>
      <w:r w:rsidRPr="0036450C">
        <w:rPr>
          <w:highlight w:val="lightGray"/>
        </w:rPr>
        <w:t>Administrator</w:t>
      </w:r>
      <w:r>
        <w:t xml:space="preserve"> will vet the assigned Investigator(s)</w:t>
      </w:r>
      <w:r w:rsidR="00223B1D">
        <w:t>, Decision-maker(s), and Appeals officers</w:t>
      </w:r>
      <w:r>
        <w:t xml:space="preserve"> for impartiality by ensuring there are no actual or apparent conflicts of interest or disqualifying biases. At any time during the Resolution Process, the </w:t>
      </w:r>
      <w:r w:rsidR="0028631C">
        <w:t>Parties</w:t>
      </w:r>
      <w:r>
        <w:t xml:space="preserve"> may raise a concern regarding bias or conflict of interest, and the </w:t>
      </w:r>
      <w:r w:rsidRPr="0036450C">
        <w:rPr>
          <w:highlight w:val="lightGray"/>
        </w:rPr>
        <w:t>Administrator</w:t>
      </w:r>
      <w:r>
        <w:t xml:space="preserve"> will determine whether the concern is reasonable and supportable. If so, another </w:t>
      </w:r>
      <w:r w:rsidRPr="00ED3CAB">
        <w:t>Pool</w:t>
      </w:r>
      <w:r w:rsidRPr="0028631C">
        <w:t xml:space="preserve"> m</w:t>
      </w:r>
      <w:r>
        <w:t>ember will be assigned</w:t>
      </w:r>
      <w:r w:rsidR="008546C1">
        <w:t>,</w:t>
      </w:r>
      <w:r>
        <w:t xml:space="preserve"> and the impact of the bias or conflict, if any, will be remedied. If the source of the conflict of interest or bias is the </w:t>
      </w:r>
      <w:r w:rsidRPr="0036450C">
        <w:rPr>
          <w:highlight w:val="lightGray"/>
        </w:rPr>
        <w:t>Administrator</w:t>
      </w:r>
      <w:r>
        <w:t xml:space="preserve">, concerns should be raised with </w:t>
      </w:r>
      <w:r>
        <w:rPr>
          <w:highlight w:val="lightGray"/>
        </w:rPr>
        <w:t>&lt;&lt;Title&gt;&gt;</w:t>
      </w:r>
      <w:r>
        <w:t>.</w:t>
      </w:r>
    </w:p>
    <w:p w14:paraId="4C80BAE8" w14:textId="77777777" w:rsidR="003B288F" w:rsidRDefault="003B288F" w:rsidP="003B288F"/>
    <w:p w14:paraId="2AD5FA09" w14:textId="19E514C0" w:rsidR="00E0450A" w:rsidRDefault="003B288F" w:rsidP="00E0450A">
      <w:r>
        <w:t xml:space="preserve">The </w:t>
      </w:r>
      <w:r w:rsidRPr="0036450C">
        <w:rPr>
          <w:highlight w:val="lightGray"/>
        </w:rPr>
        <w:t>Resolution Process</w:t>
      </w:r>
      <w:r>
        <w:t xml:space="preserve"> involves an objective evaluation of all available relevant </w:t>
      </w:r>
      <w:r w:rsidR="00E0450A">
        <w:t xml:space="preserve">and not otherwise impermissible </w:t>
      </w:r>
      <w:r>
        <w:t xml:space="preserve">evidence, including evidence that supports that the Respondent engaged in a </w:t>
      </w:r>
      <w:r w:rsidR="00D715ED">
        <w:t>P</w:t>
      </w:r>
      <w:r>
        <w:t xml:space="preserve">olicy violation and evidence that supports that the Respondent did not engage in a </w:t>
      </w:r>
      <w:r w:rsidR="00D715ED">
        <w:t>P</w:t>
      </w:r>
      <w:r>
        <w:t xml:space="preserve">olicy violation. Credibility determinations may not be based solely on an individual’s status or participation as a Complainant, Respondent, or witness. </w:t>
      </w:r>
      <w:r w:rsidRPr="00BD6B58">
        <w:t xml:space="preserve">All </w:t>
      </w:r>
      <w:r w:rsidR="0028631C">
        <w:t>Parties</w:t>
      </w:r>
      <w:r w:rsidRPr="00BD6B58">
        <w:t xml:space="preserve"> have a full and fair opportunity, through the investigation process, to suggest witnesses and questions, to provide evidence, and </w:t>
      </w:r>
      <w:r w:rsidR="00E0450A">
        <w:t xml:space="preserve">to </w:t>
      </w:r>
      <w:r w:rsidR="007D5B1E">
        <w:t xml:space="preserve">receive </w:t>
      </w:r>
      <w:r w:rsidR="00E0450A">
        <w:t xml:space="preserve">a written investigation report that accurately summarizes this evidence. </w:t>
      </w:r>
    </w:p>
    <w:p w14:paraId="12325D1A" w14:textId="77777777" w:rsidR="00F813F2" w:rsidRDefault="00F813F2" w:rsidP="003B288F"/>
    <w:p w14:paraId="7E87CC72" w14:textId="63E699C6" w:rsidR="004D73D8" w:rsidRDefault="007A4A3B" w:rsidP="00021C70">
      <w:pPr>
        <w:pStyle w:val="Heading1"/>
      </w:pPr>
      <w:bookmarkStart w:id="118" w:name="_Toc168477553"/>
      <w:r>
        <w:t xml:space="preserve">Investigator </w:t>
      </w:r>
      <w:bookmarkStart w:id="119" w:name="_Toc102393996"/>
      <w:r w:rsidR="004D73D8">
        <w:t>Appointment</w:t>
      </w:r>
      <w:bookmarkEnd w:id="116"/>
      <w:bookmarkEnd w:id="118"/>
      <w:bookmarkEnd w:id="119"/>
    </w:p>
    <w:p w14:paraId="10F93583" w14:textId="438697A4" w:rsidR="00880F46" w:rsidRDefault="00880F46" w:rsidP="00880F46"/>
    <w:p w14:paraId="781ADBC6" w14:textId="11D24F20" w:rsidR="00880F46" w:rsidRDefault="00880F46" w:rsidP="00A95FCA">
      <w:r w:rsidRPr="00880F46">
        <w:t>Once</w:t>
      </w:r>
      <w:r w:rsidR="00E0450A">
        <w:t xml:space="preserve"> </w:t>
      </w:r>
      <w:r w:rsidRPr="00880F46">
        <w:t>a</w:t>
      </w:r>
      <w:r w:rsidR="00FB5B04">
        <w:t>n</w:t>
      </w:r>
      <w:r w:rsidRPr="00880F46">
        <w:t xml:space="preserve"> investigation is </w:t>
      </w:r>
      <w:r w:rsidR="00E0450A">
        <w:t>initiated</w:t>
      </w:r>
      <w:r w:rsidRPr="00880F46">
        <w:t xml:space="preserve">, the </w:t>
      </w:r>
      <w:r w:rsidR="00F22272" w:rsidRPr="0036450C">
        <w:rPr>
          <w:highlight w:val="lightGray"/>
        </w:rPr>
        <w:t>Administrator</w:t>
      </w:r>
      <w:r w:rsidRPr="00880F46">
        <w:t xml:space="preserve"> appoints </w:t>
      </w:r>
      <w:r w:rsidR="00F22272">
        <w:t>a</w:t>
      </w:r>
      <w:r w:rsidR="00E0450A">
        <w:t xml:space="preserve">n </w:t>
      </w:r>
      <w:r w:rsidR="0057733F">
        <w:t>I</w:t>
      </w:r>
      <w:r w:rsidR="00E0450A">
        <w:t>nvestigator</w:t>
      </w:r>
      <w:r w:rsidR="00581C03">
        <w:t>(s)</w:t>
      </w:r>
      <w:r w:rsidR="00E0450A">
        <w:t xml:space="preserve"> </w:t>
      </w:r>
      <w:r w:rsidRPr="00880F46">
        <w:t xml:space="preserve">to conduct </w:t>
      </w:r>
      <w:r w:rsidR="001D29CA">
        <w:t>it</w:t>
      </w:r>
      <w:r w:rsidR="00F22272">
        <w:t xml:space="preserve">. </w:t>
      </w:r>
      <w:r w:rsidR="00E0450A">
        <w:t xml:space="preserve">These </w:t>
      </w:r>
      <w:r w:rsidR="0057733F">
        <w:t>I</w:t>
      </w:r>
      <w:r w:rsidR="00C44132">
        <w:t>nvestigators</w:t>
      </w:r>
      <w:r w:rsidR="00E0450A">
        <w:t xml:space="preserve"> may be members of the </w:t>
      </w:r>
      <w:r w:rsidR="00C44132">
        <w:t>Resolution Process P</w:t>
      </w:r>
      <w:r w:rsidR="00E0450A">
        <w:t xml:space="preserve">ool, or any other properly trained </w:t>
      </w:r>
      <w:r w:rsidR="0057733F">
        <w:t>I</w:t>
      </w:r>
      <w:r w:rsidR="00E0450A">
        <w:t>nvestigator, whether internal or e</w:t>
      </w:r>
      <w:r w:rsidR="00581C03">
        <w:t>x</w:t>
      </w:r>
      <w:r w:rsidR="00E0450A">
        <w:t xml:space="preserve">ternal to the </w:t>
      </w:r>
      <w:r w:rsidR="00E0450A" w:rsidRPr="00ED3CAB">
        <w:rPr>
          <w:highlight w:val="lightGray"/>
        </w:rPr>
        <w:t>Recipient</w:t>
      </w:r>
      <w:r w:rsidR="00E0450A">
        <w:t xml:space="preserve">’s community. </w:t>
      </w:r>
    </w:p>
    <w:p w14:paraId="08522664" w14:textId="77777777" w:rsidR="00F8152E" w:rsidRDefault="00F8152E" w:rsidP="00A95FCA"/>
    <w:p w14:paraId="4AFD2780" w14:textId="77777777" w:rsidR="00F8152E" w:rsidRDefault="00F8152E" w:rsidP="00F8152E">
      <w:pPr>
        <w:pStyle w:val="Heading1"/>
      </w:pPr>
      <w:bookmarkStart w:id="120" w:name="_Toc168477554"/>
      <w:r>
        <w:lastRenderedPageBreak/>
        <w:t>Witness Role and Participation in the Investigation</w:t>
      </w:r>
      <w:bookmarkEnd w:id="120"/>
    </w:p>
    <w:p w14:paraId="6CE14133" w14:textId="77777777" w:rsidR="00F8152E" w:rsidRDefault="00F8152E" w:rsidP="00F8152E"/>
    <w:p w14:paraId="188F2A5B" w14:textId="7A4A9DB9" w:rsidR="00F8152E" w:rsidRDefault="00F8152E" w:rsidP="00F8152E">
      <w:r w:rsidRPr="00ED3CAB">
        <w:t xml:space="preserve">Employees (not including Complainant and Respondent) are required to cooperate with and participate in the </w:t>
      </w:r>
      <w:r w:rsidRPr="00AF4053">
        <w:rPr>
          <w:highlight w:val="lightGray"/>
        </w:rPr>
        <w:t>Recipient</w:t>
      </w:r>
      <w:r w:rsidRPr="00ED3CAB">
        <w:t>’s investigation and Resolution Process.</w:t>
      </w:r>
      <w:r>
        <w:t xml:space="preserve"> Student witnesses and witnesses from outside the </w:t>
      </w:r>
      <w:r w:rsidRPr="00BA47B6">
        <w:rPr>
          <w:highlight w:val="lightGray"/>
        </w:rPr>
        <w:t>Recipient</w:t>
      </w:r>
      <w:r>
        <w:t xml:space="preserve"> community </w:t>
      </w:r>
      <w:r w:rsidR="00581C03">
        <w:t>cannot be required to participat</w:t>
      </w:r>
      <w:r w:rsidR="0028631C">
        <w:t>e</w:t>
      </w:r>
      <w:r w:rsidR="00581C03">
        <w:t xml:space="preserve"> but </w:t>
      </w:r>
      <w:r>
        <w:t xml:space="preserve">are encouraged to cooperate with </w:t>
      </w:r>
      <w:r w:rsidRPr="00BA47B6">
        <w:rPr>
          <w:highlight w:val="lightGray"/>
        </w:rPr>
        <w:t>Recipient</w:t>
      </w:r>
      <w:r>
        <w:t xml:space="preserve"> investigations and to share what they know about a </w:t>
      </w:r>
      <w:r w:rsidR="00F240C0">
        <w:t>Complaint</w:t>
      </w:r>
      <w:r>
        <w:t xml:space="preserve">. </w:t>
      </w:r>
    </w:p>
    <w:p w14:paraId="47589D08" w14:textId="77777777" w:rsidR="00F8152E" w:rsidRDefault="00F8152E" w:rsidP="00F8152E"/>
    <w:p w14:paraId="2D8D09AF" w14:textId="2D1C712F" w:rsidR="00F8152E" w:rsidRDefault="00F8152E" w:rsidP="00F8152E">
      <w:r>
        <w:t>Interviews may be conducted in</w:t>
      </w:r>
      <w:r w:rsidR="00BE45AA">
        <w:t xml:space="preserve"> </w:t>
      </w:r>
      <w:r>
        <w:t>person, via online video platforms (e.g.</w:t>
      </w:r>
      <w:r w:rsidR="00BE45AA">
        <w:t>,</w:t>
      </w:r>
      <w:r>
        <w:t xml:space="preserve"> Zoom, Microsoft Teams, FaceTime, </w:t>
      </w:r>
      <w:proofErr w:type="spellStart"/>
      <w:r>
        <w:t>WebEx</w:t>
      </w:r>
      <w:proofErr w:type="spellEnd"/>
      <w:r>
        <w:t xml:space="preserve">, etc.), or, in limited circumstances, by </w:t>
      </w:r>
      <w:r w:rsidR="00581C03">
        <w:t>tele</w:t>
      </w:r>
      <w:r>
        <w:t xml:space="preserve">phone. The </w:t>
      </w:r>
      <w:r w:rsidRPr="00756A66">
        <w:rPr>
          <w:highlight w:val="lightGray"/>
        </w:rPr>
        <w:t>Recipient</w:t>
      </w:r>
      <w:r>
        <w:t xml:space="preserve"> will take appropriate steps to ensure the security/privacy of remote interviews.</w:t>
      </w:r>
    </w:p>
    <w:p w14:paraId="16B946E2" w14:textId="77777777" w:rsidR="00F8152E" w:rsidRDefault="00F8152E" w:rsidP="00F8152E"/>
    <w:p w14:paraId="5CE10A71" w14:textId="77777777" w:rsidR="00F8152E" w:rsidRDefault="00F8152E" w:rsidP="00F8152E">
      <w:r>
        <w:t xml:space="preserve">Parties and witnesses may also provide written statements in lieu of interviews or choose to respond to written questions, if deemed appropriate by the Investigator(s), though not preferred. </w:t>
      </w:r>
    </w:p>
    <w:p w14:paraId="405A6FAF" w14:textId="77777777" w:rsidR="00F8152E" w:rsidRPr="00BA47B6" w:rsidRDefault="00F8152E" w:rsidP="00F8152E"/>
    <w:p w14:paraId="687B7639" w14:textId="77777777" w:rsidR="00F8152E" w:rsidRDefault="00F8152E" w:rsidP="00F8152E">
      <w:pPr>
        <w:pStyle w:val="Heading1"/>
      </w:pPr>
      <w:bookmarkStart w:id="121" w:name="_Toc168477555"/>
      <w:r>
        <w:t>Interview Recording</w:t>
      </w:r>
      <w:bookmarkEnd w:id="121"/>
    </w:p>
    <w:p w14:paraId="637346E4" w14:textId="77777777" w:rsidR="00F8152E" w:rsidRDefault="00F8152E" w:rsidP="00F8152E"/>
    <w:p w14:paraId="58737F07" w14:textId="372EF044" w:rsidR="00F8152E" w:rsidRDefault="00F8152E" w:rsidP="00F8152E">
      <w:r>
        <w:t xml:space="preserve">It is standard practice for </w:t>
      </w:r>
      <w:r w:rsidR="00CF1AD5">
        <w:t>I</w:t>
      </w:r>
      <w:r>
        <w:t xml:space="preserve">nvestigators to create </w:t>
      </w:r>
      <w:proofErr w:type="gramStart"/>
      <w:r>
        <w:t>record</w:t>
      </w:r>
      <w:proofErr w:type="gramEnd"/>
      <w:r>
        <w:t xml:space="preserve"> </w:t>
      </w:r>
      <w:r w:rsidR="00CF1AD5">
        <w:t xml:space="preserve">of </w:t>
      </w:r>
      <w:r>
        <w:t xml:space="preserve">all interviews pertaining to the Resolution Process (other than Informal Resolution meetings). The </w:t>
      </w:r>
      <w:r w:rsidR="00581C03">
        <w:t>P</w:t>
      </w:r>
      <w:r>
        <w:t xml:space="preserve">arties may review copies of their own interviews, upon request. </w:t>
      </w:r>
      <w:r w:rsidRPr="00BA47B6">
        <w:t xml:space="preserve">No unauthorized audio or video recording of any kind is permitted during investigation meetings. If </w:t>
      </w:r>
      <w:r w:rsidR="00581C03">
        <w:t xml:space="preserve">an </w:t>
      </w:r>
      <w:r w:rsidRPr="00BA47B6">
        <w:t>Investigator(s) elect</w:t>
      </w:r>
      <w:r>
        <w:t>s</w:t>
      </w:r>
      <w:r w:rsidRPr="00BA47B6">
        <w:t xml:space="preserve"> to audio and/or video record interviews, all involved </w:t>
      </w:r>
      <w:r>
        <w:t>individuals</w:t>
      </w:r>
      <w:r w:rsidRPr="00BA47B6">
        <w:t xml:space="preserve"> should be made aware of audio and/or video recording.</w:t>
      </w:r>
      <w:r>
        <w:t xml:space="preserve"> </w:t>
      </w:r>
    </w:p>
    <w:p w14:paraId="61DD2674" w14:textId="77777777" w:rsidR="00F8152E" w:rsidRDefault="00F8152E" w:rsidP="00F8152E"/>
    <w:p w14:paraId="7C191417" w14:textId="67D32601" w:rsidR="00F8152E" w:rsidRDefault="00F8152E" w:rsidP="00F8152E">
      <w:r>
        <w:t xml:space="preserve">All </w:t>
      </w:r>
      <w:r w:rsidR="00581C03">
        <w:t>interviews are</w:t>
      </w:r>
      <w:r>
        <w:t xml:space="preserve"> recorded. The recording and/or transcript of those meetings will be provided to the </w:t>
      </w:r>
      <w:r w:rsidR="002A089D">
        <w:t>P</w:t>
      </w:r>
      <w:r>
        <w:t xml:space="preserve">arties for their review, after which the </w:t>
      </w:r>
      <w:r w:rsidR="0028631C">
        <w:t>Parties</w:t>
      </w:r>
      <w:r>
        <w:t xml:space="preserve"> may pose additional questions to each other. Those subsequent meetings or interviews are also recorded</w:t>
      </w:r>
      <w:r w:rsidR="00581C03">
        <w:t xml:space="preserve"> and/or transcribed and shared with the Parties. </w:t>
      </w:r>
      <w:r>
        <w:t xml:space="preserve"> </w:t>
      </w:r>
    </w:p>
    <w:p w14:paraId="6924C265" w14:textId="77777777" w:rsidR="00F8152E" w:rsidRPr="00BA47B6" w:rsidRDefault="00F8152E" w:rsidP="00F8152E"/>
    <w:p w14:paraId="42428943" w14:textId="77777777" w:rsidR="00F8152E" w:rsidRDefault="00F8152E" w:rsidP="00F8152E">
      <w:pPr>
        <w:pStyle w:val="Heading1"/>
      </w:pPr>
      <w:bookmarkStart w:id="122" w:name="_Toc168477556"/>
      <w:r>
        <w:t>Evidentiary Considerations</w:t>
      </w:r>
      <w:bookmarkEnd w:id="122"/>
    </w:p>
    <w:p w14:paraId="0D98B0C0" w14:textId="77777777" w:rsidR="00F8152E" w:rsidRDefault="00F8152E" w:rsidP="00F8152E"/>
    <w:p w14:paraId="35C16E52" w14:textId="17C7606C" w:rsidR="00F8152E" w:rsidRDefault="00F8152E" w:rsidP="00F8152E">
      <w:r>
        <w:t>The Investigator(s) and the Decision-</w:t>
      </w:r>
      <w:r w:rsidR="002A089D">
        <w:t>m</w:t>
      </w:r>
      <w:r>
        <w:t xml:space="preserve">aker(s) will only consider evidence that is deemed relevant and not otherwise impermissible. </w:t>
      </w:r>
    </w:p>
    <w:p w14:paraId="58B21EF2" w14:textId="77777777" w:rsidR="00F8152E" w:rsidRDefault="00F8152E" w:rsidP="00F8152E"/>
    <w:p w14:paraId="445A1DFA" w14:textId="3C79E7D5" w:rsidR="00F8152E" w:rsidRDefault="00F8152E" w:rsidP="00F8152E">
      <w:r>
        <w:t>Relevant evidence is that which may aid in determining whether the allegation occurred, or whether the behavior constitute</w:t>
      </w:r>
      <w:r w:rsidR="002A089D">
        <w:t>s</w:t>
      </w:r>
      <w:r>
        <w:t xml:space="preserve"> a violation of </w:t>
      </w:r>
      <w:r w:rsidR="002A089D">
        <w:t>P</w:t>
      </w:r>
      <w:r>
        <w:t xml:space="preserve">olicy.  </w:t>
      </w:r>
    </w:p>
    <w:p w14:paraId="503CE785" w14:textId="77777777" w:rsidR="00F8152E" w:rsidRDefault="00F8152E" w:rsidP="00F8152E"/>
    <w:p w14:paraId="3AE4C990" w14:textId="216A729F" w:rsidR="000764BA" w:rsidRDefault="00F8152E" w:rsidP="00F8152E">
      <w:r>
        <w:t xml:space="preserve">Impermissible evidence is defined as evidence that relates to the </w:t>
      </w:r>
      <w:r w:rsidR="00661420">
        <w:t>C</w:t>
      </w:r>
      <w:r>
        <w:t>omplainant’s sexual interests or prior sexual conduct</w:t>
      </w:r>
      <w:r w:rsidRPr="00CA6E57">
        <w:t xml:space="preserve">, unless </w:t>
      </w:r>
      <w:r>
        <w:t xml:space="preserve">1) </w:t>
      </w:r>
      <w:r w:rsidRPr="00CA6E57">
        <w:t xml:space="preserve">evidence about the </w:t>
      </w:r>
      <w:r w:rsidR="000764BA">
        <w:t>C</w:t>
      </w:r>
      <w:r w:rsidRPr="00CA6E57">
        <w:t xml:space="preserve">omplainant’s prior sexual conduct is offered to prove that someone other than the </w:t>
      </w:r>
      <w:r w:rsidR="00872C46">
        <w:t>R</w:t>
      </w:r>
      <w:r w:rsidRPr="00CA6E57">
        <w:t>espondent committed the alleged conduct</w:t>
      </w:r>
      <w:r>
        <w:t>, or 2</w:t>
      </w:r>
      <w:proofErr w:type="gramStart"/>
      <w:r>
        <w:t xml:space="preserve">) </w:t>
      </w:r>
      <w:r w:rsidRPr="00CA6E57">
        <w:t>is</w:t>
      </w:r>
      <w:proofErr w:type="gramEnd"/>
      <w:r w:rsidRPr="00CA6E57">
        <w:t xml:space="preserve"> evidence about specific incidents of the </w:t>
      </w:r>
      <w:r w:rsidR="00872C46">
        <w:t>C</w:t>
      </w:r>
      <w:r w:rsidRPr="00CA6E57">
        <w:t xml:space="preserve">omplainant’s prior sexual conduct with the </w:t>
      </w:r>
      <w:r w:rsidR="00872C46">
        <w:t>R</w:t>
      </w:r>
      <w:r w:rsidRPr="00CA6E57">
        <w:t xml:space="preserve">espondent that is offered to prove consent. </w:t>
      </w:r>
    </w:p>
    <w:p w14:paraId="4B8AC224" w14:textId="7CAE0438" w:rsidR="00F8152E" w:rsidRDefault="00F8152E" w:rsidP="00F8152E">
      <w:r w:rsidRPr="00CA6E57">
        <w:lastRenderedPageBreak/>
        <w:t xml:space="preserve">The fact of prior consensual sexual conduct between the </w:t>
      </w:r>
      <w:r w:rsidR="00872C46">
        <w:t>C</w:t>
      </w:r>
      <w:r w:rsidRPr="00CA6E57">
        <w:t xml:space="preserve">omplainant and </w:t>
      </w:r>
      <w:r w:rsidR="00872C46">
        <w:t>R</w:t>
      </w:r>
      <w:r w:rsidRPr="00CA6E57">
        <w:t xml:space="preserve">espondent does not by itself demonstrate or imply the </w:t>
      </w:r>
      <w:r w:rsidR="00872C46">
        <w:t>C</w:t>
      </w:r>
      <w:r w:rsidRPr="00CA6E57">
        <w:t xml:space="preserve">omplainant’s consent or preclude </w:t>
      </w:r>
      <w:r w:rsidR="00872C46">
        <w:t xml:space="preserve">a </w:t>
      </w:r>
      <w:r w:rsidRPr="00CA6E57">
        <w:t>determination that sex-based harassment occurred</w:t>
      </w:r>
      <w:r>
        <w:t>.</w:t>
      </w:r>
    </w:p>
    <w:p w14:paraId="2546BD57" w14:textId="77777777" w:rsidR="00F8152E" w:rsidRDefault="00F8152E" w:rsidP="00F8152E"/>
    <w:p w14:paraId="25DA796A" w14:textId="57E7BE03" w:rsidR="00F8152E" w:rsidRDefault="00F8152E" w:rsidP="00F8152E">
      <w:r w:rsidRPr="0023151C">
        <w:t xml:space="preserve">Previous disciplinary action of any kind involving the Respondent may not be </w:t>
      </w:r>
      <w:r w:rsidR="00872C46">
        <w:t>considered</w:t>
      </w:r>
      <w:r w:rsidR="00872C46" w:rsidRPr="0023151C">
        <w:t xml:space="preserve"> </w:t>
      </w:r>
      <w:r w:rsidRPr="0023151C">
        <w:t xml:space="preserve">unless there is an allegation of a pattern of misconduct. Such information may also be considered in determining an appropriate sanction upon a determination of responsibility. </w:t>
      </w:r>
      <w:r w:rsidR="00872C46">
        <w:t>Barring a pattern allegation, t</w:t>
      </w:r>
      <w:r w:rsidRPr="0023151C">
        <w:t>his information is only considered at the sanction stage of the process and is not shared until then.</w:t>
      </w:r>
    </w:p>
    <w:p w14:paraId="25697653" w14:textId="77777777" w:rsidR="00F8152E" w:rsidRDefault="00F8152E" w:rsidP="00F8152E"/>
    <w:p w14:paraId="59ED260B" w14:textId="707167D5" w:rsidR="00F8152E" w:rsidRDefault="00F8152E" w:rsidP="00F8152E">
      <w:r>
        <w:t xml:space="preserve">Within the </w:t>
      </w:r>
      <w:r w:rsidR="00B566AD">
        <w:t xml:space="preserve">limitations </w:t>
      </w:r>
      <w:r>
        <w:t>stated above, the investigation and determination can consider character evidence, if offered, but that evidence is unlikely to be relevant unless it is fact evidence or relates to a pattern of conduct.</w:t>
      </w:r>
    </w:p>
    <w:p w14:paraId="17B3E5AB" w14:textId="77777777" w:rsidR="00F8152E" w:rsidRDefault="00F8152E" w:rsidP="00A95FCA"/>
    <w:p w14:paraId="624E42E1" w14:textId="4FC93FB9" w:rsidR="00880F46" w:rsidRDefault="0043611D" w:rsidP="0043611D">
      <w:pPr>
        <w:pStyle w:val="Heading1"/>
      </w:pPr>
      <w:bookmarkStart w:id="123" w:name="_Toc168477557"/>
      <w:bookmarkStart w:id="124" w:name="Section20"/>
      <w:r>
        <w:t>Respondent Admits Responsibility</w:t>
      </w:r>
      <w:bookmarkEnd w:id="123"/>
    </w:p>
    <w:bookmarkEnd w:id="124"/>
    <w:p w14:paraId="50300120" w14:textId="7D57C74F" w:rsidR="00D42A84" w:rsidRDefault="00D42A84" w:rsidP="0043611D"/>
    <w:p w14:paraId="342E6402" w14:textId="6F06DBA5" w:rsidR="00D42A84" w:rsidRDefault="00D42A84" w:rsidP="0043611D">
      <w:r>
        <w:t>At any point in the proceedings, if a Respondent elects to admit to the charged violations and waive further process, the Decision-maker is authorized to accept that admission, adopt it as their finding/final determination</w:t>
      </w:r>
      <w:r w:rsidR="00AC5960">
        <w:t>,</w:t>
      </w:r>
      <w:r>
        <w:t xml:space="preserve"> and administer sanctions. This would also waive all rights to appeal for the Respondent. If the Respondent rejects the finding/final determination/sanctions, </w:t>
      </w:r>
      <w:r w:rsidR="00816A23">
        <w:t xml:space="preserve">or does not admit to all conduct charged, </w:t>
      </w:r>
      <w:r>
        <w:t xml:space="preserve">the </w:t>
      </w:r>
      <w:r w:rsidR="00816A23">
        <w:t>Resolution P</w:t>
      </w:r>
      <w:r>
        <w:t>rocess continues to its conclusion.</w:t>
      </w:r>
    </w:p>
    <w:p w14:paraId="5846AC4D" w14:textId="77777777" w:rsidR="0043611D" w:rsidRPr="0043611D" w:rsidRDefault="0043611D" w:rsidP="0043611D"/>
    <w:p w14:paraId="2D266461" w14:textId="2B8612B1" w:rsidR="004D73D8" w:rsidRDefault="004D73D8" w:rsidP="00021C70">
      <w:pPr>
        <w:pStyle w:val="Heading1"/>
      </w:pPr>
      <w:bookmarkStart w:id="125" w:name="_Toc168477558"/>
      <w:bookmarkStart w:id="126" w:name="_Toc82511678"/>
      <w:bookmarkStart w:id="127" w:name="_Toc102394000"/>
      <w:r>
        <w:t>Investigation</w:t>
      </w:r>
      <w:bookmarkEnd w:id="125"/>
      <w:r>
        <w:t xml:space="preserve"> </w:t>
      </w:r>
      <w:bookmarkEnd w:id="126"/>
      <w:bookmarkEnd w:id="127"/>
    </w:p>
    <w:p w14:paraId="68E98AEE" w14:textId="6283AC25" w:rsidR="00880F46" w:rsidRDefault="00880F46" w:rsidP="00880F46"/>
    <w:p w14:paraId="5A63590B" w14:textId="190BFBAE" w:rsidR="00880F46" w:rsidRDefault="00880F46" w:rsidP="00880F46">
      <w:r>
        <w:t xml:space="preserve">All investigations are </w:t>
      </w:r>
      <w:r w:rsidR="0070130C">
        <w:t xml:space="preserve">adequate, </w:t>
      </w:r>
      <w:r>
        <w:t xml:space="preserve">thorough, reliable, impartial, prompt, and fair. </w:t>
      </w:r>
      <w:r w:rsidR="00411812">
        <w:t xml:space="preserve">They involve interviews with all relevant Parties and witnesses, obtaining </w:t>
      </w:r>
      <w:r>
        <w:t>relevant evidence</w:t>
      </w:r>
      <w:r w:rsidR="0068667B">
        <w:t>,</w:t>
      </w:r>
      <w:r>
        <w:t xml:space="preserve"> and identifying sources of expert information, as necessary. </w:t>
      </w:r>
    </w:p>
    <w:p w14:paraId="305BD06A" w14:textId="77777777" w:rsidR="00880F46" w:rsidRDefault="00880F46" w:rsidP="00880F46"/>
    <w:p w14:paraId="4D574F0B" w14:textId="5095AF4B" w:rsidR="00880F46" w:rsidRDefault="008D34E0" w:rsidP="00880F46">
      <w:r>
        <w:t>After an interview, Parties and witnesses will be asked to verify the accuracy of the recording, tra</w:t>
      </w:r>
      <w:r w:rsidR="00B511BE">
        <w:t>n</w:t>
      </w:r>
      <w:r>
        <w:t xml:space="preserve">script, or summary of their interview. They may submit changes, edits, or clarifications. If the Parties or witnesses do not respond within the </w:t>
      </w:r>
      <w:proofErr w:type="gramStart"/>
      <w:r>
        <w:t>time period</w:t>
      </w:r>
      <w:proofErr w:type="gramEnd"/>
      <w:r>
        <w:t xml:space="preserve"> designated for verification, objections to the accuracy of the recording, transcript, or summary will be deemed to have been waived</w:t>
      </w:r>
      <w:r w:rsidR="0027212F">
        <w:t>,</w:t>
      </w:r>
      <w:r>
        <w:t xml:space="preserve"> and no changes will be permitted. </w:t>
      </w:r>
    </w:p>
    <w:p w14:paraId="3D1ECAFE" w14:textId="094C9731" w:rsidR="00535B6E" w:rsidRPr="00535B6E" w:rsidRDefault="00535B6E" w:rsidP="00C44132">
      <w:pPr>
        <w:rPr>
          <w:highlight w:val="lightGray"/>
        </w:rPr>
      </w:pPr>
      <w:bookmarkStart w:id="128" w:name="_Hlk85717598"/>
    </w:p>
    <w:p w14:paraId="380B17D1" w14:textId="508B1AC2" w:rsidR="00880F46" w:rsidRPr="00535B6E" w:rsidRDefault="00535B6E" w:rsidP="00C44132">
      <w:r w:rsidRPr="00F539C8">
        <w:t xml:space="preserve">The </w:t>
      </w:r>
      <w:r w:rsidR="008D34E0" w:rsidRPr="00ED3CAB">
        <w:rPr>
          <w:highlight w:val="lightGray"/>
        </w:rPr>
        <w:t>R</w:t>
      </w:r>
      <w:r w:rsidRPr="00ED3CAB">
        <w:rPr>
          <w:highlight w:val="lightGray"/>
        </w:rPr>
        <w:t>ecipient</w:t>
      </w:r>
      <w:r w:rsidRPr="00F539C8">
        <w:t xml:space="preserve"> may consolidate </w:t>
      </w:r>
      <w:r w:rsidR="00F240C0">
        <w:t>Complaint</w:t>
      </w:r>
      <w:r w:rsidRPr="00F539C8">
        <w:t xml:space="preserve">s against more than one </w:t>
      </w:r>
      <w:r w:rsidR="008D34E0">
        <w:t>R</w:t>
      </w:r>
      <w:r w:rsidRPr="00F539C8">
        <w:t xml:space="preserve">espondent, or by more than one </w:t>
      </w:r>
      <w:r w:rsidR="008D34E0">
        <w:t>C</w:t>
      </w:r>
      <w:r w:rsidRPr="00F539C8">
        <w:t xml:space="preserve">omplainant against one or more </w:t>
      </w:r>
      <w:r w:rsidR="008D34E0">
        <w:t>R</w:t>
      </w:r>
      <w:r w:rsidRPr="00F539C8">
        <w:t>espondents</w:t>
      </w:r>
      <w:r w:rsidR="00B93250">
        <w:t>,</w:t>
      </w:r>
      <w:r w:rsidR="008D34E0">
        <w:t xml:space="preserve"> </w:t>
      </w:r>
      <w:r w:rsidRPr="00F539C8">
        <w:t xml:space="preserve">when the allegations arise </w:t>
      </w:r>
      <w:r w:rsidR="00F1169B">
        <w:t>from</w:t>
      </w:r>
      <w:r w:rsidRPr="00F539C8">
        <w:t xml:space="preserve"> the same facts or circumstances</w:t>
      </w:r>
      <w:r w:rsidR="00B93250">
        <w:t xml:space="preserve"> or</w:t>
      </w:r>
      <w:r w:rsidR="00880F46" w:rsidRPr="006E024D">
        <w:t xml:space="preserve"> implicate a pattern, collusion, and/or other shared or similar actions.</w:t>
      </w:r>
      <w:r w:rsidR="00880F46" w:rsidRPr="00535B6E">
        <w:t xml:space="preserve"> </w:t>
      </w:r>
    </w:p>
    <w:bookmarkEnd w:id="128"/>
    <w:p w14:paraId="1C9D88A4" w14:textId="77777777" w:rsidR="00880F46" w:rsidRDefault="00880F46" w:rsidP="00880F46"/>
    <w:p w14:paraId="628FBBA4" w14:textId="00DD3CE0" w:rsidR="00880F46" w:rsidRDefault="00880F46" w:rsidP="00880F46">
      <w:r>
        <w:t xml:space="preserve">The Investigator(s) typically take(s) the following steps, if not already completed </w:t>
      </w:r>
      <w:r w:rsidR="00532536">
        <w:t xml:space="preserve">and </w:t>
      </w:r>
      <w:r>
        <w:t>not necessarily in this order:</w:t>
      </w:r>
    </w:p>
    <w:p w14:paraId="3F1E6808" w14:textId="77777777" w:rsidR="00880F46" w:rsidRDefault="00880F46" w:rsidP="00880F46"/>
    <w:p w14:paraId="0C89D280" w14:textId="1312D7B5" w:rsidR="00880F46" w:rsidRPr="00ED3CAB" w:rsidRDefault="00880F46" w:rsidP="005521DD">
      <w:pPr>
        <w:pStyle w:val="ListParagraph"/>
        <w:numPr>
          <w:ilvl w:val="0"/>
          <w:numId w:val="22"/>
        </w:numPr>
      </w:pPr>
      <w:r w:rsidRPr="00ED3CAB">
        <w:t>Determine the identity and contact information of the Complainant</w:t>
      </w:r>
      <w:r w:rsidR="00F22272" w:rsidRPr="00ED3CAB">
        <w:t>.</w:t>
      </w:r>
    </w:p>
    <w:p w14:paraId="1E5D38F1" w14:textId="42751D84" w:rsidR="00880F46" w:rsidRPr="00ED3CAB" w:rsidRDefault="00880F46" w:rsidP="005521DD">
      <w:pPr>
        <w:pStyle w:val="ListParagraph"/>
        <w:numPr>
          <w:ilvl w:val="0"/>
          <w:numId w:val="22"/>
        </w:numPr>
      </w:pPr>
      <w:r w:rsidRPr="00ED3CAB">
        <w:t>Identify all policies implicated by the alleged misconduct and notify the Complainant and Respondent of all specific policies implicated</w:t>
      </w:r>
      <w:r w:rsidR="00F22272" w:rsidRPr="00ED3CAB">
        <w:t>.</w:t>
      </w:r>
    </w:p>
    <w:p w14:paraId="795E311E" w14:textId="659ED455" w:rsidR="00880F46" w:rsidRPr="00ED3CAB" w:rsidRDefault="00880F46" w:rsidP="005521DD">
      <w:pPr>
        <w:pStyle w:val="ListParagraph"/>
        <w:numPr>
          <w:ilvl w:val="0"/>
          <w:numId w:val="22"/>
        </w:numPr>
      </w:pPr>
      <w:r w:rsidRPr="00ED3CAB">
        <w:lastRenderedPageBreak/>
        <w:t xml:space="preserve">Assist the </w:t>
      </w:r>
      <w:r w:rsidR="00F22272" w:rsidRPr="008D34E0">
        <w:rPr>
          <w:highlight w:val="lightGray"/>
        </w:rPr>
        <w:t>Administrator</w:t>
      </w:r>
      <w:r w:rsidRPr="00ED3CAB">
        <w:t xml:space="preserve">, if needed, </w:t>
      </w:r>
      <w:proofErr w:type="gramStart"/>
      <w:r w:rsidRPr="00ED3CAB">
        <w:t>with</w:t>
      </w:r>
      <w:proofErr w:type="gramEnd"/>
      <w:r w:rsidRPr="00ED3CAB">
        <w:t xml:space="preserve"> conducting a prompt initial </w:t>
      </w:r>
      <w:r w:rsidR="008D34E0">
        <w:t>evaluation</w:t>
      </w:r>
      <w:r w:rsidR="008D34E0" w:rsidRPr="00ED3CAB">
        <w:t xml:space="preserve"> </w:t>
      </w:r>
      <w:r w:rsidRPr="00ED3CAB">
        <w:t xml:space="preserve">to determine if the allegations indicate a potential </w:t>
      </w:r>
      <w:r w:rsidR="00D715ED">
        <w:t>P</w:t>
      </w:r>
      <w:r w:rsidRPr="00ED3CAB">
        <w:t>olicy violation</w:t>
      </w:r>
      <w:r w:rsidR="00F22272" w:rsidRPr="00ED3CAB">
        <w:t>.</w:t>
      </w:r>
      <w:r w:rsidRPr="00ED3CAB">
        <w:t xml:space="preserve"> </w:t>
      </w:r>
    </w:p>
    <w:p w14:paraId="62D9F3A7" w14:textId="7D1D7AE5" w:rsidR="00EC176B" w:rsidRPr="00ED3CAB" w:rsidRDefault="00EC176B" w:rsidP="005521DD">
      <w:pPr>
        <w:pStyle w:val="ListParagraph"/>
        <w:numPr>
          <w:ilvl w:val="0"/>
          <w:numId w:val="22"/>
        </w:numPr>
      </w:pPr>
      <w:r w:rsidRPr="00ED3CAB">
        <w:t xml:space="preserve">Work with the </w:t>
      </w:r>
      <w:r w:rsidRPr="008D34E0">
        <w:rPr>
          <w:highlight w:val="lightGray"/>
        </w:rPr>
        <w:t>Administrator</w:t>
      </w:r>
      <w:r w:rsidRPr="00ED3CAB">
        <w:t xml:space="preserve">, as necessary, to prepare the initial </w:t>
      </w:r>
      <w:proofErr w:type="gramStart"/>
      <w:r w:rsidRPr="00ED3CAB">
        <w:t>Notice of Investigation</w:t>
      </w:r>
      <w:proofErr w:type="gramEnd"/>
      <w:r w:rsidRPr="00ED3CAB">
        <w:t xml:space="preserve"> and Allegations (NOIA). The NOIA may be amended with any additional or dismissed allegations.</w:t>
      </w:r>
    </w:p>
    <w:p w14:paraId="6DC61A8B" w14:textId="6F008EF0" w:rsidR="00AF43E9" w:rsidRDefault="00880F46" w:rsidP="005521DD">
      <w:pPr>
        <w:pStyle w:val="ListParagraph"/>
        <w:numPr>
          <w:ilvl w:val="0"/>
          <w:numId w:val="22"/>
        </w:numPr>
      </w:pPr>
      <w:r>
        <w:t xml:space="preserve">Commence a thorough, reliable, and impartial investigation by identifying issues and developing a strategic investigation plan, including a witness list, evidence list, intended investigation timeframe, and order of interviews for the </w:t>
      </w:r>
      <w:r w:rsidR="008D34E0">
        <w:t>P</w:t>
      </w:r>
      <w:r>
        <w:t>arties and witnesses</w:t>
      </w:r>
      <w:r w:rsidR="00F22272">
        <w:t>.</w:t>
      </w:r>
      <w:r>
        <w:t xml:space="preserve"> </w:t>
      </w:r>
    </w:p>
    <w:p w14:paraId="7264CA2D" w14:textId="03786EAC" w:rsidR="00AF43E9" w:rsidRDefault="00AF43E9" w:rsidP="005521DD">
      <w:pPr>
        <w:pStyle w:val="ListParagraph"/>
        <w:numPr>
          <w:ilvl w:val="0"/>
          <w:numId w:val="22"/>
        </w:numPr>
      </w:pPr>
      <w:r>
        <w:t>When participation of a party is expected, provide that party with written noti</w:t>
      </w:r>
      <w:r w:rsidR="00F240C0">
        <w:t>fication</w:t>
      </w:r>
      <w:r>
        <w:t xml:space="preserve"> of the date, time, and location of the meeting, as well as the expected participants and purpose. </w:t>
      </w:r>
    </w:p>
    <w:p w14:paraId="2D8F3540" w14:textId="620D3958" w:rsidR="00880F46" w:rsidRDefault="00AF43E9" w:rsidP="005521DD">
      <w:pPr>
        <w:pStyle w:val="ListParagraph"/>
        <w:numPr>
          <w:ilvl w:val="0"/>
          <w:numId w:val="22"/>
        </w:numPr>
      </w:pPr>
      <w:r>
        <w:t xml:space="preserve">Make good faith efforts to notify each party of any meeting or interview involving another party, in advance when possible. </w:t>
      </w:r>
    </w:p>
    <w:p w14:paraId="69FA9AB6" w14:textId="6CF0CAB0" w:rsidR="00880F46" w:rsidRDefault="00535B6E" w:rsidP="005521DD">
      <w:pPr>
        <w:pStyle w:val="ListParagraph"/>
        <w:numPr>
          <w:ilvl w:val="0"/>
          <w:numId w:val="22"/>
        </w:numPr>
      </w:pPr>
      <w:r>
        <w:t>Interview</w:t>
      </w:r>
      <w:r w:rsidR="00880F46">
        <w:t xml:space="preserve"> the Complainant</w:t>
      </w:r>
      <w:r>
        <w:t xml:space="preserve"> and the Respondent</w:t>
      </w:r>
      <w:r w:rsidR="00880F46">
        <w:t xml:space="preserve"> </w:t>
      </w:r>
      <w:r>
        <w:t xml:space="preserve">and conduct follow-up interviews with each, as necessary. </w:t>
      </w:r>
    </w:p>
    <w:p w14:paraId="108E14D8" w14:textId="79EFE091" w:rsidR="00EC176B" w:rsidRDefault="00EC176B" w:rsidP="005521DD">
      <w:pPr>
        <w:pStyle w:val="ListParagraph"/>
        <w:numPr>
          <w:ilvl w:val="0"/>
          <w:numId w:val="22"/>
        </w:numPr>
      </w:pPr>
      <w:r>
        <w:t>Interview all available, relevant witnesses and conduct follow-up interviews as necessary.</w:t>
      </w:r>
    </w:p>
    <w:p w14:paraId="1B27EECA" w14:textId="4C6C0E4F" w:rsidR="00880F46" w:rsidRDefault="00880F46" w:rsidP="005521DD">
      <w:pPr>
        <w:pStyle w:val="ListParagraph"/>
        <w:numPr>
          <w:ilvl w:val="0"/>
          <w:numId w:val="22"/>
        </w:numPr>
      </w:pPr>
      <w:r>
        <w:t>Provide each interviewed party and witness an opportunity to review and verify the Investigator’s summary notes (or transcript</w:t>
      </w:r>
      <w:r w:rsidR="00535B6E">
        <w:t xml:space="preserve"> or recording</w:t>
      </w:r>
      <w:r>
        <w:t>) of the relevant evidence/testimony from their respective interviews and meetings</w:t>
      </w:r>
      <w:r w:rsidR="00F22272">
        <w:t>.</w:t>
      </w:r>
    </w:p>
    <w:p w14:paraId="27DB2249" w14:textId="21FA1704" w:rsidR="00880F46" w:rsidRDefault="00880F46" w:rsidP="005521DD">
      <w:pPr>
        <w:pStyle w:val="ListParagraph"/>
        <w:numPr>
          <w:ilvl w:val="0"/>
          <w:numId w:val="22"/>
        </w:numPr>
      </w:pPr>
      <w:r>
        <w:t>Allow each party the opportunity to suggest witnesses and questions they wish the Investigator(s) to ask of another party and/or witnesses</w:t>
      </w:r>
      <w:r w:rsidR="00F1169B">
        <w:t>. Document</w:t>
      </w:r>
      <w:r>
        <w:t xml:space="preserve"> in the </w:t>
      </w:r>
      <w:r w:rsidR="00F22272">
        <w:t xml:space="preserve">investigation </w:t>
      </w:r>
      <w:proofErr w:type="gramStart"/>
      <w:r>
        <w:t>report</w:t>
      </w:r>
      <w:proofErr w:type="gramEnd"/>
      <w:r>
        <w:t xml:space="preserve"> which questions were asked, with a rationale for any changes or omissions</w:t>
      </w:r>
      <w:r w:rsidR="00F22272">
        <w:t>.</w:t>
      </w:r>
      <w:r>
        <w:t xml:space="preserve"> </w:t>
      </w:r>
    </w:p>
    <w:p w14:paraId="1CBF1BF8" w14:textId="3E3A7C19" w:rsidR="00880F46" w:rsidRDefault="008D34E0" w:rsidP="005521DD">
      <w:pPr>
        <w:pStyle w:val="ListParagraph"/>
        <w:numPr>
          <w:ilvl w:val="0"/>
          <w:numId w:val="22"/>
        </w:numPr>
      </w:pPr>
      <w:r>
        <w:t>Where possible, c</w:t>
      </w:r>
      <w:r w:rsidR="00880F46">
        <w:t>omplete the investigation promptly and without unreasonable deviation from the intended timeline</w:t>
      </w:r>
      <w:r w:rsidR="00F22272">
        <w:t>.</w:t>
      </w:r>
    </w:p>
    <w:p w14:paraId="6AA0BD93" w14:textId="6EBC365F" w:rsidR="00880F46" w:rsidRDefault="00880F46" w:rsidP="005521DD">
      <w:pPr>
        <w:pStyle w:val="ListParagraph"/>
        <w:numPr>
          <w:ilvl w:val="0"/>
          <w:numId w:val="22"/>
        </w:numPr>
      </w:pPr>
      <w:r>
        <w:t xml:space="preserve">Provide </w:t>
      </w:r>
      <w:r w:rsidR="00F22272">
        <w:t xml:space="preserve">the </w:t>
      </w:r>
      <w:r w:rsidR="008D34E0">
        <w:t>P</w:t>
      </w:r>
      <w:r w:rsidR="00F22272">
        <w:t xml:space="preserve">arties </w:t>
      </w:r>
      <w:r w:rsidR="00FA59A9">
        <w:t xml:space="preserve">with </w:t>
      </w:r>
      <w:r>
        <w:t>regular status updates throughout the investigation</w:t>
      </w:r>
      <w:r w:rsidR="00F22272">
        <w:t>.</w:t>
      </w:r>
    </w:p>
    <w:p w14:paraId="3395B15B" w14:textId="7578154F" w:rsidR="00880F46" w:rsidRDefault="00880F46" w:rsidP="005521DD">
      <w:pPr>
        <w:pStyle w:val="ListParagraph"/>
        <w:numPr>
          <w:ilvl w:val="0"/>
          <w:numId w:val="22"/>
        </w:numPr>
      </w:pPr>
      <w:r w:rsidRPr="0033147C">
        <w:t xml:space="preserve">Prior to the conclusion of the investigation, provide the </w:t>
      </w:r>
      <w:r w:rsidR="008D34E0">
        <w:t>P</w:t>
      </w:r>
      <w:r w:rsidRPr="0033147C">
        <w:t>arties and their respective Advisors with a list of witnesses whose information will be used to render a finding</w:t>
      </w:r>
      <w:r w:rsidR="00F22272" w:rsidRPr="0033147C">
        <w:t>.</w:t>
      </w:r>
    </w:p>
    <w:p w14:paraId="705322E7" w14:textId="1251AD07" w:rsidR="0033147C" w:rsidRPr="00F539C8" w:rsidRDefault="0033147C" w:rsidP="005521DD">
      <w:pPr>
        <w:pStyle w:val="ListParagraph"/>
        <w:numPr>
          <w:ilvl w:val="0"/>
          <w:numId w:val="22"/>
        </w:numPr>
      </w:pPr>
      <w:r>
        <w:t xml:space="preserve">Ask the </w:t>
      </w:r>
      <w:r w:rsidR="0028631C">
        <w:t>Parties</w:t>
      </w:r>
      <w:r>
        <w:t xml:space="preserve"> to provide a list of questions they would like asked of the other party</w:t>
      </w:r>
      <w:r w:rsidR="008D34E0">
        <w:t xml:space="preserve"> or any witnesses</w:t>
      </w:r>
      <w:r>
        <w:t xml:space="preserve">. The </w:t>
      </w:r>
      <w:r w:rsidR="006219E8">
        <w:t>I</w:t>
      </w:r>
      <w:r>
        <w:t xml:space="preserve">nvestigator will ask those questions deemed relevant, and for any question deemed not relevant, will provide a rationale for not asking the question. </w:t>
      </w:r>
    </w:p>
    <w:p w14:paraId="10C1BAB1" w14:textId="506F704A" w:rsidR="00880F46" w:rsidRPr="0033147C" w:rsidRDefault="00880F46" w:rsidP="005521DD">
      <w:pPr>
        <w:pStyle w:val="ListParagraph"/>
        <w:numPr>
          <w:ilvl w:val="0"/>
          <w:numId w:val="22"/>
        </w:numPr>
      </w:pPr>
      <w:r w:rsidRPr="00F539C8">
        <w:t>Write a</w:t>
      </w:r>
      <w:r w:rsidR="009E0D60">
        <w:t xml:space="preserve"> draft</w:t>
      </w:r>
      <w:r w:rsidRPr="00F539C8">
        <w:t xml:space="preserve"> investigation report </w:t>
      </w:r>
      <w:r w:rsidR="009E0D60">
        <w:t xml:space="preserve">that </w:t>
      </w:r>
      <w:r w:rsidR="009E0D60" w:rsidRPr="00A30849">
        <w:t>gather</w:t>
      </w:r>
      <w:r w:rsidR="009E0D60">
        <w:t>s</w:t>
      </w:r>
      <w:r w:rsidR="009E0D60" w:rsidRPr="00A30849">
        <w:t>, assess</w:t>
      </w:r>
      <w:r w:rsidR="009E0D60">
        <w:t>es</w:t>
      </w:r>
      <w:r w:rsidR="009E0D60" w:rsidRPr="00A30849">
        <w:t>, and synthesize</w:t>
      </w:r>
      <w:r w:rsidR="009E0D60">
        <w:t>s</w:t>
      </w:r>
      <w:r w:rsidR="009E0D60" w:rsidRPr="00A30849">
        <w:t xml:space="preserve"> the evidence</w:t>
      </w:r>
      <w:r w:rsidR="009E0D60">
        <w:t>,</w:t>
      </w:r>
      <w:r w:rsidR="009E0D60" w:rsidRPr="00A30849">
        <w:t xml:space="preserve"> </w:t>
      </w:r>
      <w:r w:rsidR="003001F3" w:rsidRPr="00F539C8">
        <w:t xml:space="preserve">accurately </w:t>
      </w:r>
      <w:r w:rsidRPr="00F539C8">
        <w:t>summariz</w:t>
      </w:r>
      <w:r w:rsidR="009E0D60">
        <w:t>es</w:t>
      </w:r>
      <w:r w:rsidR="003001F3" w:rsidRPr="00F539C8">
        <w:t xml:space="preserve"> </w:t>
      </w:r>
      <w:r w:rsidRPr="00F539C8">
        <w:t xml:space="preserve">the investigation, </w:t>
      </w:r>
      <w:r w:rsidR="003001F3" w:rsidRPr="00F539C8">
        <w:t xml:space="preserve">and party and </w:t>
      </w:r>
      <w:r w:rsidRPr="00F539C8">
        <w:t xml:space="preserve">witness interviews, and </w:t>
      </w:r>
      <w:r w:rsidR="003001F3" w:rsidRPr="00F539C8">
        <w:t>provid</w:t>
      </w:r>
      <w:r w:rsidR="009E0D60">
        <w:t>es</w:t>
      </w:r>
      <w:r w:rsidR="003001F3" w:rsidRPr="0033147C">
        <w:t xml:space="preserve"> </w:t>
      </w:r>
      <w:r w:rsidRPr="0033147C">
        <w:t>all relevant evidence</w:t>
      </w:r>
      <w:r w:rsidR="00F22272" w:rsidRPr="0033147C">
        <w:t xml:space="preserve">. </w:t>
      </w:r>
    </w:p>
    <w:p w14:paraId="30F6A122" w14:textId="6669B8EF" w:rsidR="0024026B" w:rsidRPr="004F0CAC" w:rsidRDefault="0033147C" w:rsidP="005521DD">
      <w:pPr>
        <w:pStyle w:val="ListParagraph"/>
        <w:numPr>
          <w:ilvl w:val="0"/>
          <w:numId w:val="22"/>
        </w:numPr>
      </w:pPr>
      <w:r>
        <w:t>P</w:t>
      </w:r>
      <w:r w:rsidR="00880F46" w:rsidRPr="00F539C8">
        <w:t xml:space="preserve">rovide the </w:t>
      </w:r>
      <w:r w:rsidR="007823AE">
        <w:t>P</w:t>
      </w:r>
      <w:r w:rsidR="00880F46" w:rsidRPr="00F539C8">
        <w:t xml:space="preserve">arties and their respective </w:t>
      </w:r>
      <w:proofErr w:type="gramStart"/>
      <w:r w:rsidR="00880F46" w:rsidRPr="00F539C8">
        <w:t>Advisors</w:t>
      </w:r>
      <w:proofErr w:type="gramEnd"/>
      <w:r w:rsidR="00880F46" w:rsidRPr="00F539C8">
        <w:t xml:space="preserve"> a</w:t>
      </w:r>
      <w:r w:rsidR="003001F3" w:rsidRPr="00F539C8">
        <w:t>n</w:t>
      </w:r>
      <w:r w:rsidR="00880F46" w:rsidRPr="00F539C8">
        <w:t xml:space="preserve"> electronic copy of the draft investigation report</w:t>
      </w:r>
      <w:r w:rsidR="009E0D60">
        <w:t xml:space="preserve"> </w:t>
      </w:r>
      <w:r w:rsidR="00880F46" w:rsidRPr="0033147C">
        <w:t xml:space="preserve">as well as an opportunity to inspect and review all </w:t>
      </w:r>
      <w:r w:rsidR="00863D2B" w:rsidRPr="0033147C">
        <w:t xml:space="preserve">relevant </w:t>
      </w:r>
      <w:r w:rsidR="00880F46" w:rsidRPr="0033147C">
        <w:t>evidence obtained as part of the investigation for a review and comment period</w:t>
      </w:r>
      <w:r w:rsidR="00BE2680">
        <w:t xml:space="preserve"> of</w:t>
      </w:r>
      <w:r w:rsidR="00880F46" w:rsidRPr="0033147C">
        <w:t xml:space="preserve"> </w:t>
      </w:r>
      <w:r w:rsidR="00BE2680" w:rsidRPr="00ED3CAB">
        <w:rPr>
          <w:highlight w:val="lightGray"/>
        </w:rPr>
        <w:t>ten (10) business</w:t>
      </w:r>
      <w:r w:rsidR="00BE2680">
        <w:rPr>
          <w:highlight w:val="lightGray"/>
        </w:rPr>
        <w:t xml:space="preserve"> </w:t>
      </w:r>
      <w:r w:rsidR="00BE2680" w:rsidRPr="00ED3CAB">
        <w:rPr>
          <w:highlight w:val="lightGray"/>
        </w:rPr>
        <w:t>da</w:t>
      </w:r>
      <w:r w:rsidR="00BE2680" w:rsidRPr="00BE2680">
        <w:rPr>
          <w:highlight w:val="lightGray"/>
        </w:rPr>
        <w:t>y</w:t>
      </w:r>
      <w:r w:rsidR="00BE2680" w:rsidRPr="00AF4053">
        <w:rPr>
          <w:highlight w:val="lightGray"/>
        </w:rPr>
        <w:t>s</w:t>
      </w:r>
      <w:r w:rsidR="00BE2680">
        <w:t xml:space="preserve"> </w:t>
      </w:r>
      <w:r w:rsidR="00880F46" w:rsidRPr="0033147C">
        <w:t xml:space="preserve">so that each party may meaningfully respond to the evidence. The </w:t>
      </w:r>
      <w:r w:rsidR="007823AE" w:rsidRPr="004F0CAC">
        <w:t>P</w:t>
      </w:r>
      <w:r w:rsidR="00880F46" w:rsidRPr="004F0CAC">
        <w:t xml:space="preserve">arties may elect to waive </w:t>
      </w:r>
      <w:r w:rsidR="007623EB" w:rsidRPr="004F0CAC">
        <w:t xml:space="preserve">all or part of the review period. </w:t>
      </w:r>
    </w:p>
    <w:p w14:paraId="32899A2D" w14:textId="00E89E77" w:rsidR="00FC5670" w:rsidRPr="00ED3CAB" w:rsidRDefault="00FC5670" w:rsidP="005521DD">
      <w:pPr>
        <w:pStyle w:val="ListParagraph"/>
        <w:numPr>
          <w:ilvl w:val="0"/>
          <w:numId w:val="22"/>
        </w:numPr>
      </w:pPr>
      <w:r w:rsidRPr="00ED3CAB">
        <w:t xml:space="preserve">The </w:t>
      </w:r>
      <w:r w:rsidR="006219E8">
        <w:t>I</w:t>
      </w:r>
      <w:r w:rsidRPr="00ED3CAB">
        <w:t xml:space="preserve">nvestigator may share the investigation report with the </w:t>
      </w:r>
      <w:r w:rsidRPr="00ED3CAB">
        <w:rPr>
          <w:highlight w:val="lightGray"/>
        </w:rPr>
        <w:t>Administrator</w:t>
      </w:r>
      <w:r w:rsidRPr="00ED3CAB">
        <w:t xml:space="preserve"> and/or legal counsel for their review and feedback</w:t>
      </w:r>
      <w:r w:rsidR="00EA339D">
        <w:t>.</w:t>
      </w:r>
    </w:p>
    <w:p w14:paraId="73A5A30F" w14:textId="77777777" w:rsidR="00F8152E" w:rsidRDefault="00F8152E" w:rsidP="00F8152E"/>
    <w:p w14:paraId="1E2180F3" w14:textId="3304F97C" w:rsidR="00F8152E" w:rsidRDefault="00F8152E" w:rsidP="00F539C8">
      <w:pPr>
        <w:pStyle w:val="Heading1"/>
      </w:pPr>
      <w:bookmarkStart w:id="129" w:name="_Administrative_Resolution_Process"/>
      <w:bookmarkStart w:id="130" w:name="_Toc168477559"/>
      <w:bookmarkStart w:id="131" w:name="ProceduralSection22"/>
      <w:bookmarkEnd w:id="129"/>
      <w:r>
        <w:t>Administrative Resolution Process</w:t>
      </w:r>
      <w:bookmarkEnd w:id="130"/>
    </w:p>
    <w:bookmarkEnd w:id="131"/>
    <w:p w14:paraId="6C0E547F" w14:textId="77777777" w:rsidR="00F8152E" w:rsidRDefault="00F8152E" w:rsidP="00F8152E"/>
    <w:p w14:paraId="6FB6C166" w14:textId="0D1B7E56" w:rsidR="00F8152E" w:rsidRDefault="00F8152E" w:rsidP="00F8152E">
      <w:r>
        <w:t xml:space="preserve">The Administrative Resolution Process is used for all </w:t>
      </w:r>
      <w:r w:rsidR="00F240C0">
        <w:t>Complaint</w:t>
      </w:r>
      <w:r w:rsidR="0014062B">
        <w:t xml:space="preserve">s of </w:t>
      </w:r>
      <w:r w:rsidR="009E6A95">
        <w:t xml:space="preserve">discrimination </w:t>
      </w:r>
      <w:proofErr w:type="gramStart"/>
      <w:r w:rsidR="009E6A95">
        <w:t>on the basis of</w:t>
      </w:r>
      <w:proofErr w:type="gramEnd"/>
      <w:r w:rsidR="009E6A95">
        <w:t xml:space="preserve"> protected characteristics, </w:t>
      </w:r>
      <w:r>
        <w:t>harassment</w:t>
      </w:r>
      <w:r w:rsidR="009E6A95">
        <w:t>, retaliation, and Other Prohibited Behaviors (as defined in Policy)</w:t>
      </w:r>
      <w:r>
        <w:t xml:space="preserve"> or when Informal Resolution is either not </w:t>
      </w:r>
      <w:r w:rsidR="0014062B">
        <w:t xml:space="preserve">elected </w:t>
      </w:r>
      <w:r>
        <w:t xml:space="preserve">or is unsuccessful. </w:t>
      </w:r>
    </w:p>
    <w:p w14:paraId="51264C2E" w14:textId="77777777" w:rsidR="00F8152E" w:rsidRDefault="00F8152E" w:rsidP="00F8152E"/>
    <w:p w14:paraId="5E12EEBC" w14:textId="680B5F61" w:rsidR="00447DC3" w:rsidRDefault="0014062B" w:rsidP="00F8152E">
      <w:r>
        <w:t xml:space="preserve">The </w:t>
      </w:r>
      <w:r w:rsidR="00F8152E">
        <w:t xml:space="preserve">Administrative Resolution Process consists of a hand-off of the investigation report and all relevant evidence to the Decision-maker to make a finding and determine sanctions (if applicable). </w:t>
      </w:r>
    </w:p>
    <w:p w14:paraId="1C0E1195" w14:textId="77777777" w:rsidR="00447DC3" w:rsidRDefault="00447DC3" w:rsidP="00F8152E"/>
    <w:p w14:paraId="253F1246" w14:textId="0A2EAF58" w:rsidR="00447DC3" w:rsidRDefault="00171CB9" w:rsidP="00F8152E">
      <w:r>
        <w:t xml:space="preserve">At the discretion of </w:t>
      </w:r>
      <w:proofErr w:type="gramStart"/>
      <w:r w:rsidRPr="00ED3CAB">
        <w:rPr>
          <w:highlight w:val="lightGray"/>
        </w:rPr>
        <w:t>Administrator</w:t>
      </w:r>
      <w:proofErr w:type="gramEnd"/>
      <w:r>
        <w:t>, t</w:t>
      </w:r>
      <w:r w:rsidR="00447DC3">
        <w:t xml:space="preserve">he assigned Decision-maker will be an individual </w:t>
      </w:r>
      <w:r w:rsidR="006057AB">
        <w:t>or</w:t>
      </w:r>
      <w:r w:rsidR="00447DC3">
        <w:t xml:space="preserve"> a panel drawn from the Resolution Process Pool, or other trained individuals either internal or external to the institution.</w:t>
      </w:r>
      <w:r w:rsidR="00521368">
        <w:rPr>
          <w:rStyle w:val="FootnoteReference"/>
        </w:rPr>
        <w:footnoteReference w:id="32"/>
      </w:r>
      <w:r w:rsidR="00447DC3">
        <w:t xml:space="preserve"> </w:t>
      </w:r>
      <w:r w:rsidR="009A08D4">
        <w:t xml:space="preserve">Once the Decision-maker receives and reviews the file, they can recommend dismissal to the </w:t>
      </w:r>
      <w:r w:rsidR="009A08D4" w:rsidRPr="009A08D4">
        <w:rPr>
          <w:highlight w:val="lightGray"/>
        </w:rPr>
        <w:t>Administrator</w:t>
      </w:r>
      <w:r w:rsidR="009A08D4">
        <w:t xml:space="preserve">, if they believe the grounds are met. </w:t>
      </w:r>
    </w:p>
    <w:p w14:paraId="37550CC2" w14:textId="77777777" w:rsidR="00447DC3" w:rsidRDefault="00447DC3" w:rsidP="00F8152E"/>
    <w:p w14:paraId="23D38A45" w14:textId="4D10EBC1" w:rsidR="00F8152E" w:rsidRDefault="0092797E" w:rsidP="00F8152E">
      <w:r>
        <w:t xml:space="preserve">The Administrative Resolution </w:t>
      </w:r>
      <w:r w:rsidR="006057AB">
        <w:t>P</w:t>
      </w:r>
      <w:r>
        <w:t xml:space="preserve">rocess typically takes approximately </w:t>
      </w:r>
      <w:r w:rsidRPr="005D08D7">
        <w:rPr>
          <w:highlight w:val="lightGray"/>
        </w:rPr>
        <w:t xml:space="preserve">thirty (30) </w:t>
      </w:r>
      <w:r w:rsidR="006057AB" w:rsidRPr="005D08D7">
        <w:rPr>
          <w:highlight w:val="lightGray"/>
        </w:rPr>
        <w:t xml:space="preserve">business </w:t>
      </w:r>
      <w:r w:rsidRPr="005D08D7">
        <w:rPr>
          <w:highlight w:val="lightGray"/>
        </w:rPr>
        <w:t>days</w:t>
      </w:r>
      <w:r w:rsidR="006057AB">
        <w:t xml:space="preserve"> to complete</w:t>
      </w:r>
      <w:r w:rsidR="00447DC3">
        <w:t>, beginning with the Decision-maker’s receipt of the Draft Investigation Report. T</w:t>
      </w:r>
      <w:r>
        <w:t xml:space="preserve">he </w:t>
      </w:r>
      <w:r w:rsidR="0028631C">
        <w:t>Parties</w:t>
      </w:r>
      <w:r>
        <w:t xml:space="preserve"> will be updated regularly o</w:t>
      </w:r>
      <w:r w:rsidR="00171CB9">
        <w:t>n</w:t>
      </w:r>
      <w:r>
        <w:t xml:space="preserve"> the timing and any significant deviation from this typical timeline. </w:t>
      </w:r>
    </w:p>
    <w:p w14:paraId="26622F37" w14:textId="77777777" w:rsidR="00F8152E" w:rsidRDefault="00F8152E" w:rsidP="00F8152E"/>
    <w:p w14:paraId="2FA00581" w14:textId="53BC1BC9" w:rsidR="00F8152E" w:rsidRPr="00A30849" w:rsidRDefault="00F8152E" w:rsidP="00F8152E">
      <w:pPr>
        <w:rPr>
          <w:u w:val="single"/>
        </w:rPr>
      </w:pPr>
      <w:r w:rsidRPr="00A30849">
        <w:rPr>
          <w:u w:val="single"/>
        </w:rPr>
        <w:t>Investigator</w:t>
      </w:r>
      <w:r w:rsidR="00E70D60">
        <w:rPr>
          <w:u w:val="single"/>
        </w:rPr>
        <w:t>-</w:t>
      </w:r>
      <w:r w:rsidR="00334558">
        <w:rPr>
          <w:u w:val="single"/>
        </w:rPr>
        <w:t>l</w:t>
      </w:r>
      <w:r w:rsidRPr="00A30849">
        <w:rPr>
          <w:u w:val="single"/>
        </w:rPr>
        <w:t>ed Questioning Meetings</w:t>
      </w:r>
    </w:p>
    <w:p w14:paraId="28FFF7C3" w14:textId="2EE95B55" w:rsidR="00F8152E" w:rsidRDefault="007E77CB" w:rsidP="005521DD">
      <w:pPr>
        <w:pStyle w:val="ListParagraph"/>
        <w:numPr>
          <w:ilvl w:val="0"/>
          <w:numId w:val="22"/>
        </w:numPr>
      </w:pPr>
      <w:r>
        <w:t xml:space="preserve">The </w:t>
      </w:r>
      <w:r w:rsidR="00171CB9" w:rsidRPr="00ED3CAB">
        <w:rPr>
          <w:highlight w:val="lightGray"/>
        </w:rPr>
        <w:t>Administrator</w:t>
      </w:r>
      <w:r w:rsidR="00171CB9">
        <w:t xml:space="preserve"> </w:t>
      </w:r>
      <w:r w:rsidR="00F8152E" w:rsidRPr="00A30849">
        <w:t xml:space="preserve">provides the </w:t>
      </w:r>
      <w:r w:rsidR="00F8152E">
        <w:t>D</w:t>
      </w:r>
      <w:r w:rsidR="00F8152E" w:rsidRPr="00A30849">
        <w:t xml:space="preserve">raft </w:t>
      </w:r>
      <w:r w:rsidR="00F8152E">
        <w:t>I</w:t>
      </w:r>
      <w:r w:rsidR="00F8152E" w:rsidRPr="00A30849">
        <w:t xml:space="preserve">nvestigation </w:t>
      </w:r>
      <w:r w:rsidR="00F8152E">
        <w:t>R</w:t>
      </w:r>
      <w:r w:rsidR="00F8152E" w:rsidRPr="00A30849">
        <w:t>eport to the Decision-</w:t>
      </w:r>
      <w:r w:rsidR="00334558">
        <w:t>m</w:t>
      </w:r>
      <w:r w:rsidR="00F8152E" w:rsidRPr="00A30849">
        <w:t>aker</w:t>
      </w:r>
      <w:r w:rsidR="00201CBC">
        <w:t xml:space="preserve"> and the Parties</w:t>
      </w:r>
      <w:r>
        <w:t xml:space="preserve"> </w:t>
      </w:r>
      <w:r w:rsidR="008774EF">
        <w:t>simultaneous</w:t>
      </w:r>
      <w:r w:rsidR="00222FE6">
        <w:t>ly for</w:t>
      </w:r>
      <w:r w:rsidR="008774EF">
        <w:t xml:space="preserve"> </w:t>
      </w:r>
      <w:r>
        <w:t xml:space="preserve">review. The Decision-maker </w:t>
      </w:r>
      <w:r w:rsidR="00F8152E" w:rsidRPr="00A30849">
        <w:t xml:space="preserve">can </w:t>
      </w:r>
      <w:r w:rsidR="00CD1939">
        <w:t xml:space="preserve">then </w:t>
      </w:r>
      <w:r w:rsidR="00F8152E" w:rsidRPr="00A30849">
        <w:t xml:space="preserve">provide the Investigator with a list of </w:t>
      </w:r>
      <w:r w:rsidR="00F8152E">
        <w:t xml:space="preserve">relevant </w:t>
      </w:r>
      <w:r w:rsidR="00F8152E" w:rsidRPr="00A30849">
        <w:t xml:space="preserve">questions to ask the </w:t>
      </w:r>
      <w:r w:rsidR="00F46EDE">
        <w:t xml:space="preserve">Parties </w:t>
      </w:r>
      <w:r w:rsidR="00171CB9">
        <w:t>or any witnesses</w:t>
      </w:r>
      <w:r w:rsidR="00F8152E" w:rsidRPr="00A30849">
        <w:t>.</w:t>
      </w:r>
      <w:r w:rsidR="00F8152E" w:rsidRPr="00C01747">
        <w:t xml:space="preserve"> </w:t>
      </w:r>
    </w:p>
    <w:p w14:paraId="7ED0BBC4" w14:textId="49619B61" w:rsidR="00F8152E" w:rsidRPr="00A30849" w:rsidRDefault="00F8152E" w:rsidP="005521DD">
      <w:pPr>
        <w:pStyle w:val="ListParagraph"/>
        <w:numPr>
          <w:ilvl w:val="1"/>
          <w:numId w:val="22"/>
        </w:numPr>
      </w:pPr>
      <w:r>
        <w:t>To the extent credibility is in dispute and relevant to one or more of the allegations, the questions provided by the Decision-</w:t>
      </w:r>
      <w:r w:rsidR="00334558">
        <w:t>m</w:t>
      </w:r>
      <w:r>
        <w:t xml:space="preserve">aker may also </w:t>
      </w:r>
      <w:r w:rsidR="00CD1939">
        <w:t>explore</w:t>
      </w:r>
      <w:r>
        <w:t xml:space="preserve"> credibility.</w:t>
      </w:r>
    </w:p>
    <w:p w14:paraId="28C05CCB" w14:textId="4092A75D" w:rsidR="00F8152E" w:rsidRDefault="00F8152E" w:rsidP="005521DD">
      <w:pPr>
        <w:pStyle w:val="ListParagraph"/>
        <w:numPr>
          <w:ilvl w:val="0"/>
          <w:numId w:val="22"/>
        </w:numPr>
      </w:pPr>
      <w:r w:rsidRPr="00A30849">
        <w:t xml:space="preserve">The </w:t>
      </w:r>
      <w:r>
        <w:t>I</w:t>
      </w:r>
      <w:r w:rsidRPr="00A30849">
        <w:t xml:space="preserve">nvestigator will also ask each of the </w:t>
      </w:r>
      <w:r w:rsidR="00CD1939">
        <w:t>P</w:t>
      </w:r>
      <w:r w:rsidRPr="00A30849">
        <w:t xml:space="preserve">arties to provide a </w:t>
      </w:r>
      <w:r>
        <w:t xml:space="preserve">proposed </w:t>
      </w:r>
      <w:r w:rsidRPr="00A30849">
        <w:t xml:space="preserve">list of questions </w:t>
      </w:r>
      <w:r>
        <w:t xml:space="preserve">to </w:t>
      </w:r>
      <w:r w:rsidRPr="00A30849">
        <w:t>as</w:t>
      </w:r>
      <w:r>
        <w:t>k</w:t>
      </w:r>
      <w:r w:rsidRPr="00A30849">
        <w:t xml:space="preserve"> the other </w:t>
      </w:r>
      <w:r w:rsidR="00CD1939">
        <w:t>P</w:t>
      </w:r>
      <w:r>
        <w:t>arties and any witnesses</w:t>
      </w:r>
      <w:r w:rsidRPr="00A30849">
        <w:t>.</w:t>
      </w:r>
      <w:r>
        <w:t xml:space="preserve"> </w:t>
      </w:r>
    </w:p>
    <w:p w14:paraId="76B4A4B2" w14:textId="39E0F420" w:rsidR="00F8152E" w:rsidRDefault="00F8152E" w:rsidP="005521DD">
      <w:pPr>
        <w:pStyle w:val="ListParagraph"/>
        <w:numPr>
          <w:ilvl w:val="1"/>
          <w:numId w:val="22"/>
        </w:numPr>
      </w:pPr>
      <w:r>
        <w:t xml:space="preserve">To the extent credibility is in dispute and relevant to one or more of the allegations, questions proposed by the </w:t>
      </w:r>
      <w:r w:rsidR="00CD1939">
        <w:t>P</w:t>
      </w:r>
      <w:r>
        <w:t xml:space="preserve">arties may also </w:t>
      </w:r>
      <w:r w:rsidR="00CD1939">
        <w:t xml:space="preserve">explore </w:t>
      </w:r>
      <w:r>
        <w:t>credibility.</w:t>
      </w:r>
    </w:p>
    <w:p w14:paraId="08E204CD" w14:textId="084FA289" w:rsidR="00533913" w:rsidRDefault="00533913" w:rsidP="005521DD">
      <w:pPr>
        <w:pStyle w:val="ListParagraph"/>
        <w:numPr>
          <w:ilvl w:val="1"/>
          <w:numId w:val="22"/>
        </w:numPr>
      </w:pPr>
      <w:r>
        <w:t>All party questions must be posed during this phase of the process and cannot be posed later unless authorized by the Decision-</w:t>
      </w:r>
      <w:r w:rsidR="00CC5A0F">
        <w:t>m</w:t>
      </w:r>
      <w:r>
        <w:t>aker.</w:t>
      </w:r>
    </w:p>
    <w:p w14:paraId="13F29965" w14:textId="4CA37D32" w:rsidR="00533913" w:rsidRPr="00A30849" w:rsidRDefault="00533913" w:rsidP="005521DD">
      <w:pPr>
        <w:pStyle w:val="ListParagraph"/>
        <w:numPr>
          <w:ilvl w:val="1"/>
          <w:numId w:val="22"/>
        </w:numPr>
      </w:pPr>
      <w:r>
        <w:t xml:space="preserve">The Investigator will share all </w:t>
      </w:r>
      <w:r w:rsidR="00CD1939">
        <w:t>party-</w:t>
      </w:r>
      <w:r>
        <w:t>proposed questions with the Decision-</w:t>
      </w:r>
      <w:r w:rsidR="00CC5A0F">
        <w:t>m</w:t>
      </w:r>
      <w:r>
        <w:t>aker, who will finalize the list with the Investigator to ensure all questions are both relevant and permissible.</w:t>
      </w:r>
    </w:p>
    <w:p w14:paraId="0B1F2F69" w14:textId="552B6D6E" w:rsidR="00F8152E" w:rsidRPr="00A30849" w:rsidRDefault="00F8152E" w:rsidP="005521DD">
      <w:pPr>
        <w:pStyle w:val="ListParagraph"/>
        <w:numPr>
          <w:ilvl w:val="0"/>
          <w:numId w:val="22"/>
        </w:numPr>
      </w:pPr>
      <w:r w:rsidRPr="00A30849">
        <w:t xml:space="preserve">The </w:t>
      </w:r>
      <w:r w:rsidR="00BA64AA">
        <w:t>I</w:t>
      </w:r>
      <w:r w:rsidRPr="00A30849">
        <w:t xml:space="preserve">nvestigator will </w:t>
      </w:r>
      <w:r w:rsidR="00533913">
        <w:t xml:space="preserve">then </w:t>
      </w:r>
      <w:r>
        <w:t xml:space="preserve">hold individual meetings </w:t>
      </w:r>
      <w:r w:rsidRPr="00A30849">
        <w:t xml:space="preserve">with the </w:t>
      </w:r>
      <w:r w:rsidR="00CD1939">
        <w:t>P</w:t>
      </w:r>
      <w:r>
        <w:t>arties</w:t>
      </w:r>
      <w:r w:rsidRPr="00A30849">
        <w:t xml:space="preserve"> </w:t>
      </w:r>
      <w:r>
        <w:t xml:space="preserve">and witnesses </w:t>
      </w:r>
      <w:r w:rsidRPr="00A30849">
        <w:t xml:space="preserve">to ask the questions </w:t>
      </w:r>
      <w:r>
        <w:t>posed by the Decision-</w:t>
      </w:r>
      <w:r w:rsidR="00CC5A0F">
        <w:t>m</w:t>
      </w:r>
      <w:r>
        <w:t xml:space="preserve">aker, as well as the questions proposed by the </w:t>
      </w:r>
      <w:r w:rsidR="00CD1939">
        <w:t>P</w:t>
      </w:r>
      <w:r>
        <w:t xml:space="preserve">arties that </w:t>
      </w:r>
      <w:r w:rsidR="00533913">
        <w:t>have been</w:t>
      </w:r>
      <w:r>
        <w:t xml:space="preserve"> </w:t>
      </w:r>
      <w:r w:rsidRPr="00A30849">
        <w:t>deem</w:t>
      </w:r>
      <w:r w:rsidR="00533913">
        <w:t>ed</w:t>
      </w:r>
      <w:r w:rsidRPr="00A30849">
        <w:t xml:space="preserve"> relevant </w:t>
      </w:r>
      <w:r>
        <w:t xml:space="preserve">and not duplicative, </w:t>
      </w:r>
      <w:r w:rsidR="00533913">
        <w:t>including</w:t>
      </w:r>
      <w:r>
        <w:t xml:space="preserve"> questions intended to assess credibility. </w:t>
      </w:r>
      <w:r w:rsidRPr="00A30849">
        <w:t>These meetings will be recorded</w:t>
      </w:r>
      <w:r w:rsidR="00533913">
        <w:t xml:space="preserve"> and transcribed.</w:t>
      </w:r>
    </w:p>
    <w:p w14:paraId="466A9474" w14:textId="20FFD9E8" w:rsidR="00F8152E" w:rsidRDefault="00F8152E" w:rsidP="005521DD">
      <w:pPr>
        <w:pStyle w:val="ListParagraph"/>
        <w:numPr>
          <w:ilvl w:val="1"/>
          <w:numId w:val="22"/>
        </w:numPr>
      </w:pPr>
      <w:r w:rsidRPr="00A30849">
        <w:lastRenderedPageBreak/>
        <w:t>For any question deemed not relevant</w:t>
      </w:r>
      <w:r>
        <w:t xml:space="preserve"> or duplicative</w:t>
      </w:r>
      <w:r w:rsidRPr="00A30849">
        <w:t xml:space="preserve">, the </w:t>
      </w:r>
      <w:r>
        <w:t>I</w:t>
      </w:r>
      <w:r w:rsidRPr="00A30849">
        <w:t>nvestigator will provide a rationale for not asking the question</w:t>
      </w:r>
      <w:r>
        <w:t>, either during the recorded meeting, or in writing</w:t>
      </w:r>
      <w:r w:rsidR="00533913">
        <w:t xml:space="preserve"> (typically as an Appendix to the report)</w:t>
      </w:r>
      <w:r w:rsidRPr="00A30849">
        <w:t xml:space="preserve">. </w:t>
      </w:r>
    </w:p>
    <w:p w14:paraId="01CE00A8" w14:textId="13058900" w:rsidR="00F8152E" w:rsidRDefault="00F8152E" w:rsidP="005521DD">
      <w:pPr>
        <w:pStyle w:val="ListParagraph"/>
        <w:numPr>
          <w:ilvl w:val="0"/>
          <w:numId w:val="22"/>
        </w:numPr>
      </w:pPr>
      <w:r>
        <w:t>Typically, within</w:t>
      </w:r>
      <w:r w:rsidR="00CD1939">
        <w:t xml:space="preserve"> </w:t>
      </w:r>
      <w:r w:rsidRPr="00ED3CAB">
        <w:rPr>
          <w:highlight w:val="lightGray"/>
        </w:rPr>
        <w:t xml:space="preserve">three (3) </w:t>
      </w:r>
      <w:r w:rsidR="00CD1939">
        <w:rPr>
          <w:highlight w:val="lightGray"/>
        </w:rPr>
        <w:t xml:space="preserve">business </w:t>
      </w:r>
      <w:r w:rsidRPr="00ED3CAB">
        <w:rPr>
          <w:highlight w:val="lightGray"/>
        </w:rPr>
        <w:t>days</w:t>
      </w:r>
      <w:r>
        <w:t xml:space="preserve"> of the last of these meetings, t</w:t>
      </w:r>
      <w:r w:rsidRPr="00A30849">
        <w:t>he recordings or transcripts of th</w:t>
      </w:r>
      <w:r w:rsidR="00CD1939">
        <w:t>e</w:t>
      </w:r>
      <w:r w:rsidR="009D1756">
        <w:t xml:space="preserve">m </w:t>
      </w:r>
      <w:r w:rsidRPr="00A30849">
        <w:t xml:space="preserve">will be provided to the </w:t>
      </w:r>
      <w:r w:rsidR="00CD1939">
        <w:t>P</w:t>
      </w:r>
      <w:r w:rsidRPr="00A30849">
        <w:t xml:space="preserve">arties for </w:t>
      </w:r>
      <w:r w:rsidRPr="00B82345">
        <w:t>their</w:t>
      </w:r>
      <w:r w:rsidRPr="00A30849">
        <w:t xml:space="preserve"> review</w:t>
      </w:r>
      <w:r>
        <w:t xml:space="preserve">. The Parties </w:t>
      </w:r>
      <w:r w:rsidR="00CD1939">
        <w:t xml:space="preserve">will </w:t>
      </w:r>
      <w:r>
        <w:t xml:space="preserve">then have </w:t>
      </w:r>
      <w:r w:rsidRPr="00ED3CAB">
        <w:rPr>
          <w:highlight w:val="lightGray"/>
        </w:rPr>
        <w:t xml:space="preserve">five (5) </w:t>
      </w:r>
      <w:r w:rsidR="00CD1939">
        <w:rPr>
          <w:highlight w:val="lightGray"/>
        </w:rPr>
        <w:t xml:space="preserve">business </w:t>
      </w:r>
      <w:r w:rsidRPr="00ED3CAB">
        <w:rPr>
          <w:highlight w:val="lightGray"/>
        </w:rPr>
        <w:t>days</w:t>
      </w:r>
      <w:r>
        <w:t xml:space="preserve"> to review these recordings or transcripts and propose follow-up questions to be asked by the </w:t>
      </w:r>
      <w:r w:rsidR="00DD79D8">
        <w:t>I</w:t>
      </w:r>
      <w:r>
        <w:t>nvestigator.</w:t>
      </w:r>
      <w:r w:rsidR="0092797E">
        <w:t xml:space="preserve"> </w:t>
      </w:r>
    </w:p>
    <w:p w14:paraId="56FBF0B1" w14:textId="4CE9E49D" w:rsidR="00F8152E" w:rsidRDefault="00F8152E" w:rsidP="005521DD">
      <w:pPr>
        <w:pStyle w:val="ListParagraph"/>
        <w:numPr>
          <w:ilvl w:val="0"/>
          <w:numId w:val="22"/>
        </w:numPr>
      </w:pPr>
      <w:r>
        <w:t>The Investigator will review the proposed questions</w:t>
      </w:r>
      <w:r w:rsidR="00533913">
        <w:t xml:space="preserve"> with the Decision-</w:t>
      </w:r>
      <w:r w:rsidR="00CC5A0F">
        <w:t>m</w:t>
      </w:r>
      <w:r w:rsidR="00533913">
        <w:t>aker, to determine relevance and permissibility.</w:t>
      </w:r>
      <w:r>
        <w:t xml:space="preserve"> </w:t>
      </w:r>
      <w:r w:rsidR="00533913">
        <w:t>I</w:t>
      </w:r>
      <w:r>
        <w:t xml:space="preserve">f deemed necessary, </w:t>
      </w:r>
      <w:r w:rsidR="00533913">
        <w:t xml:space="preserve">the Investigator </w:t>
      </w:r>
      <w:r>
        <w:t xml:space="preserve">will </w:t>
      </w:r>
      <w:r w:rsidR="00533913">
        <w:t xml:space="preserve">then </w:t>
      </w:r>
      <w:r>
        <w:t xml:space="preserve">meet individually with the </w:t>
      </w:r>
      <w:r w:rsidR="0028631C">
        <w:t>Parties</w:t>
      </w:r>
      <w:r>
        <w:t xml:space="preserve"> or witnesses for whom there are relevant, and not duplicative</w:t>
      </w:r>
      <w:r w:rsidR="00CD1939">
        <w:t>,</w:t>
      </w:r>
      <w:r>
        <w:t xml:space="preserve"> follow-up questions. These follow-up meetings will also be recorded, and the </w:t>
      </w:r>
      <w:r w:rsidR="0028631C">
        <w:t>Parties</w:t>
      </w:r>
      <w:r>
        <w:t xml:space="preserve"> will receive the recordings or transcripts of th</w:t>
      </w:r>
      <w:r w:rsidR="00CD1939">
        <w:t>e</w:t>
      </w:r>
      <w:r>
        <w:t xml:space="preserve">se meetings. </w:t>
      </w:r>
      <w:r w:rsidR="00533913">
        <w:t xml:space="preserve">This final round of questioning is the </w:t>
      </w:r>
      <w:proofErr w:type="gramStart"/>
      <w:r w:rsidR="00533913">
        <w:t>last such</w:t>
      </w:r>
      <w:proofErr w:type="gramEnd"/>
      <w:r w:rsidR="00533913">
        <w:t xml:space="preserve"> round permitted, unless leave is granted to extend, by the Decision-</w:t>
      </w:r>
      <w:r w:rsidR="00CD1939">
        <w:t>m</w:t>
      </w:r>
      <w:r w:rsidR="00533913">
        <w:t>aker.</w:t>
      </w:r>
    </w:p>
    <w:p w14:paraId="1A4D90F8" w14:textId="62CA829F" w:rsidR="00F8152E" w:rsidRDefault="00F8152E" w:rsidP="005521DD">
      <w:pPr>
        <w:pStyle w:val="ListParagraph"/>
        <w:numPr>
          <w:ilvl w:val="0"/>
          <w:numId w:val="22"/>
        </w:numPr>
      </w:pPr>
      <w:r>
        <w:t>The Investigator will the</w:t>
      </w:r>
      <w:r w:rsidR="00533913">
        <w:t>n</w:t>
      </w:r>
      <w:r>
        <w:t xml:space="preserve"> incorporate any new, relevant evidence and information obtained through the </w:t>
      </w:r>
      <w:r w:rsidR="00CD1939">
        <w:t>P</w:t>
      </w:r>
      <w:r>
        <w:t>arties’ review of the Draft Investigation Report, the question</w:t>
      </w:r>
      <w:r w:rsidR="00CD1939">
        <w:t>ing,</w:t>
      </w:r>
      <w:r>
        <w:t xml:space="preserve"> and follow-up meetings into a Final Investigation Report.</w:t>
      </w:r>
    </w:p>
    <w:p w14:paraId="78077511" w14:textId="0CE044F4" w:rsidR="00F8152E" w:rsidRDefault="00F8152E" w:rsidP="005521DD">
      <w:pPr>
        <w:pStyle w:val="ListParagraph"/>
        <w:numPr>
          <w:ilvl w:val="0"/>
          <w:numId w:val="22"/>
        </w:numPr>
      </w:pPr>
      <w:r>
        <w:t>The Investigator will also r</w:t>
      </w:r>
      <w:r w:rsidRPr="00A30849">
        <w:t xml:space="preserve">espond in writing (typically within the </w:t>
      </w:r>
      <w:r w:rsidR="00CD1939">
        <w:t>F</w:t>
      </w:r>
      <w:r w:rsidR="00343EF8">
        <w:t>inal Investigation Report</w:t>
      </w:r>
      <w:r w:rsidRPr="00A30849">
        <w:t xml:space="preserve">) to the relevant elements of the </w:t>
      </w:r>
      <w:r w:rsidR="00CD1939">
        <w:t>P</w:t>
      </w:r>
      <w:r w:rsidRPr="00A30849">
        <w:t xml:space="preserve">arties’ </w:t>
      </w:r>
      <w:r>
        <w:t xml:space="preserve">responses to the Draft Investigation Report and </w:t>
      </w:r>
      <w:r w:rsidRPr="00A30849">
        <w:t xml:space="preserve">incorporate relevant elements of the </w:t>
      </w:r>
      <w:r w:rsidR="001A056A">
        <w:t>P</w:t>
      </w:r>
      <w:r w:rsidRPr="00A30849">
        <w:t>arties’ written responses</w:t>
      </w:r>
      <w:r>
        <w:t>, additional relevant evidence, and any necessary revisions</w:t>
      </w:r>
      <w:r w:rsidRPr="00A30849">
        <w:t xml:space="preserve"> into the </w:t>
      </w:r>
      <w:r w:rsidR="00343EF8">
        <w:t>Final Investigation Report</w:t>
      </w:r>
      <w:r>
        <w:t>.</w:t>
      </w:r>
    </w:p>
    <w:p w14:paraId="2CBF3C55" w14:textId="56656F55" w:rsidR="00F8152E" w:rsidRPr="00ED3CAB" w:rsidRDefault="00F8152E" w:rsidP="005521DD">
      <w:pPr>
        <w:pStyle w:val="ListParagraph"/>
        <w:numPr>
          <w:ilvl w:val="0"/>
          <w:numId w:val="22"/>
        </w:numPr>
      </w:pPr>
      <w:r w:rsidRPr="00ED3CAB">
        <w:t xml:space="preserve">The </w:t>
      </w:r>
      <w:r w:rsidR="0057733F">
        <w:t>Investigator</w:t>
      </w:r>
      <w:r w:rsidRPr="00ED3CAB">
        <w:t xml:space="preserve"> </w:t>
      </w:r>
      <w:r w:rsidR="001A056A" w:rsidRPr="00ED3CAB">
        <w:t xml:space="preserve">will then </w:t>
      </w:r>
      <w:r w:rsidRPr="00ED3CAB">
        <w:t xml:space="preserve">share the investigation report with the </w:t>
      </w:r>
      <w:r w:rsidRPr="00ED3CAB">
        <w:rPr>
          <w:highlight w:val="lightGray"/>
        </w:rPr>
        <w:t>Administrator</w:t>
      </w:r>
      <w:r w:rsidRPr="00ED3CAB">
        <w:t xml:space="preserve"> and/or legal counsel for their review and feedback</w:t>
      </w:r>
      <w:r w:rsidR="001A056A">
        <w:t>.</w:t>
      </w:r>
    </w:p>
    <w:p w14:paraId="3F7A523C" w14:textId="49C9459B" w:rsidR="00F8152E" w:rsidRDefault="00F8152E" w:rsidP="005521DD">
      <w:pPr>
        <w:pStyle w:val="ListParagraph"/>
        <w:numPr>
          <w:ilvl w:val="0"/>
          <w:numId w:val="22"/>
        </w:numPr>
      </w:pPr>
      <w:r>
        <w:t xml:space="preserve">The </w:t>
      </w:r>
      <w:r w:rsidR="001A056A">
        <w:t>F</w:t>
      </w:r>
      <w:r w:rsidR="00343EF8">
        <w:t>inal Investigation Report</w:t>
      </w:r>
      <w:r>
        <w:t xml:space="preserve"> </w:t>
      </w:r>
      <w:r w:rsidR="001036B2">
        <w:t xml:space="preserve">and investigation file </w:t>
      </w:r>
      <w:r>
        <w:t xml:space="preserve">will then be provided to the </w:t>
      </w:r>
      <w:r w:rsidRPr="00ED3CAB">
        <w:rPr>
          <w:highlight w:val="lightGray"/>
        </w:rPr>
        <w:t>Administrator</w:t>
      </w:r>
      <w:r>
        <w:t>.</w:t>
      </w:r>
    </w:p>
    <w:p w14:paraId="1A83F281" w14:textId="218A1A19" w:rsidR="00377737" w:rsidRDefault="00377737" w:rsidP="00377737"/>
    <w:p w14:paraId="4BCAA242" w14:textId="76F84B97" w:rsidR="00C01747" w:rsidRPr="00F539C8" w:rsidRDefault="00C01747" w:rsidP="00377737">
      <w:pPr>
        <w:rPr>
          <w:u w:val="single"/>
        </w:rPr>
      </w:pPr>
      <w:r w:rsidRPr="00F539C8">
        <w:rPr>
          <w:u w:val="single"/>
        </w:rPr>
        <w:t>The Decision-</w:t>
      </w:r>
      <w:r w:rsidR="001A056A">
        <w:rPr>
          <w:u w:val="single"/>
        </w:rPr>
        <w:t>m</w:t>
      </w:r>
      <w:r w:rsidRPr="00F539C8">
        <w:rPr>
          <w:u w:val="single"/>
        </w:rPr>
        <w:t>aker</w:t>
      </w:r>
      <w:r w:rsidR="00F62BC5">
        <w:rPr>
          <w:u w:val="single"/>
        </w:rPr>
        <w:t>’s Determination</w:t>
      </w:r>
    </w:p>
    <w:p w14:paraId="67523BCE" w14:textId="351D5951" w:rsidR="00F62BC5" w:rsidRDefault="00C01747" w:rsidP="005521DD">
      <w:pPr>
        <w:pStyle w:val="ListParagraph"/>
        <w:numPr>
          <w:ilvl w:val="0"/>
          <w:numId w:val="45"/>
        </w:numPr>
      </w:pPr>
      <w:r>
        <w:t xml:space="preserve">The </w:t>
      </w:r>
      <w:r w:rsidRPr="00ED3CAB">
        <w:rPr>
          <w:highlight w:val="lightGray"/>
        </w:rPr>
        <w:t>Administrator</w:t>
      </w:r>
      <w:r>
        <w:t xml:space="preserve"> will provide the </w:t>
      </w:r>
      <w:r w:rsidR="009E35EE" w:rsidRPr="00A30849">
        <w:t>Decision-</w:t>
      </w:r>
      <w:r w:rsidR="009E35EE">
        <w:t>m</w:t>
      </w:r>
      <w:r w:rsidR="009E35EE" w:rsidRPr="00A30849">
        <w:t>aker</w:t>
      </w:r>
      <w:r w:rsidR="009E35EE">
        <w:t xml:space="preserve"> with the </w:t>
      </w:r>
      <w:r w:rsidR="001036B2">
        <w:t>F</w:t>
      </w:r>
      <w:r w:rsidR="00343EF8">
        <w:t>inal Investigation Report</w:t>
      </w:r>
      <w:r w:rsidR="001036B2">
        <w:t xml:space="preserve"> and investigation file</w:t>
      </w:r>
      <w:r w:rsidRPr="00A30849">
        <w:t xml:space="preserve">, </w:t>
      </w:r>
      <w:r w:rsidR="00B86282">
        <w:t>including the evidence and information obtained through the Investigator-</w:t>
      </w:r>
      <w:r w:rsidR="00F90377">
        <w:t>l</w:t>
      </w:r>
      <w:r w:rsidR="00B86282">
        <w:t xml:space="preserve">ed Questioning </w:t>
      </w:r>
      <w:r w:rsidR="00A73B80">
        <w:t>m</w:t>
      </w:r>
      <w:r w:rsidR="00B86282">
        <w:t>eetings</w:t>
      </w:r>
      <w:r w:rsidR="009E35EE">
        <w:t>.</w:t>
      </w:r>
    </w:p>
    <w:p w14:paraId="10350D70" w14:textId="7E9028AB" w:rsidR="00C01747" w:rsidRDefault="00F62BC5" w:rsidP="005521DD">
      <w:pPr>
        <w:pStyle w:val="ListParagraph"/>
        <w:numPr>
          <w:ilvl w:val="0"/>
          <w:numId w:val="45"/>
        </w:numPr>
      </w:pPr>
      <w:r>
        <w:t>The Decision-</w:t>
      </w:r>
      <w:r w:rsidR="001036B2">
        <w:t>m</w:t>
      </w:r>
      <w:r>
        <w:t xml:space="preserve">aker will review the </w:t>
      </w:r>
      <w:r w:rsidR="001036B2">
        <w:t>FIR</w:t>
      </w:r>
      <w:r>
        <w:t xml:space="preserve">, </w:t>
      </w:r>
      <w:r w:rsidR="001036B2">
        <w:t>all appendices, and the investigation file.</w:t>
      </w:r>
    </w:p>
    <w:p w14:paraId="30416D32" w14:textId="7B752985" w:rsidR="00F62BC5" w:rsidRDefault="00F62BC5" w:rsidP="005521DD">
      <w:pPr>
        <w:pStyle w:val="ListParagraph"/>
        <w:numPr>
          <w:ilvl w:val="0"/>
          <w:numId w:val="45"/>
        </w:numPr>
      </w:pPr>
      <w:r>
        <w:t xml:space="preserve">If the record is incomplete, the </w:t>
      </w:r>
      <w:r w:rsidRPr="006E024D">
        <w:t>Decision-maker</w:t>
      </w:r>
      <w:r>
        <w:t xml:space="preserve"> may direct a re-opening of the investigation, or may direct or conduct any additional inquiry necessary, including </w:t>
      </w:r>
      <w:proofErr w:type="gramStart"/>
      <w:r>
        <w:t>informally meeting</w:t>
      </w:r>
      <w:proofErr w:type="gramEnd"/>
      <w:r>
        <w:t xml:space="preserve"> with the </w:t>
      </w:r>
      <w:r w:rsidR="00A73B80">
        <w:t>P</w:t>
      </w:r>
      <w:r>
        <w:t xml:space="preserve">arties or any witnesses, if needed. </w:t>
      </w:r>
    </w:p>
    <w:p w14:paraId="309801D4" w14:textId="5BC080FD" w:rsidR="00F62BC5" w:rsidRDefault="00F62BC5" w:rsidP="005521DD">
      <w:pPr>
        <w:pStyle w:val="ListParagraph"/>
        <w:numPr>
          <w:ilvl w:val="0"/>
          <w:numId w:val="45"/>
        </w:numPr>
      </w:pPr>
      <w:r>
        <w:t>Upon reviewing the relevant evidence, the Decision-</w:t>
      </w:r>
      <w:r w:rsidR="00A73B80">
        <w:t>m</w:t>
      </w:r>
      <w:r>
        <w:t>aker may also choose to pose additional questions</w:t>
      </w:r>
      <w:r w:rsidR="00AC64C3">
        <w:t>:</w:t>
      </w:r>
    </w:p>
    <w:p w14:paraId="6AF2AEC0" w14:textId="65B3CF74" w:rsidR="00C01747" w:rsidRDefault="00B86282" w:rsidP="005521DD">
      <w:pPr>
        <w:pStyle w:val="ListParagraph"/>
        <w:numPr>
          <w:ilvl w:val="1"/>
          <w:numId w:val="45"/>
        </w:numPr>
      </w:pPr>
      <w:r>
        <w:t>To the extent credibility is in dispute and relevant to one or more of the allegations, t</w:t>
      </w:r>
      <w:r w:rsidR="00C01747">
        <w:t>he Decision-</w:t>
      </w:r>
      <w:r w:rsidR="00A73B80">
        <w:t>m</w:t>
      </w:r>
      <w:r w:rsidR="00C01747">
        <w:t xml:space="preserve">aker may </w:t>
      </w:r>
      <w:r>
        <w:t xml:space="preserve">meet individually with the </w:t>
      </w:r>
      <w:r w:rsidR="00A73B80">
        <w:t>P</w:t>
      </w:r>
      <w:r>
        <w:t xml:space="preserve">arties and witnesses to question them </w:t>
      </w:r>
      <w:proofErr w:type="gramStart"/>
      <w:r>
        <w:t>in order to</w:t>
      </w:r>
      <w:proofErr w:type="gramEnd"/>
      <w:r>
        <w:t xml:space="preserve"> assess their credibility. </w:t>
      </w:r>
      <w:r w:rsidR="001562B5">
        <w:t>These meetings will be recorded</w:t>
      </w:r>
      <w:r w:rsidR="00A73B80">
        <w:t xml:space="preserve"> and shared with the Parties</w:t>
      </w:r>
      <w:r w:rsidR="001562B5">
        <w:t xml:space="preserve">. </w:t>
      </w:r>
    </w:p>
    <w:p w14:paraId="26C7FA7F" w14:textId="0279851A" w:rsidR="00FC5670" w:rsidRDefault="00B86282" w:rsidP="005521DD">
      <w:pPr>
        <w:pStyle w:val="ListParagraph"/>
        <w:numPr>
          <w:ilvl w:val="1"/>
          <w:numId w:val="45"/>
        </w:numPr>
      </w:pPr>
      <w:r>
        <w:t>At their discretion, the Decision-</w:t>
      </w:r>
      <w:r w:rsidR="00A73B80">
        <w:t>m</w:t>
      </w:r>
      <w:r>
        <w:t>aker may also meet with any party or witness to ask additional relevant questions that will aid the Decision-</w:t>
      </w:r>
      <w:r w:rsidR="00A73B80">
        <w:t>m</w:t>
      </w:r>
      <w:r>
        <w:t xml:space="preserve">aker in making their findings. </w:t>
      </w:r>
      <w:r w:rsidR="001562B5">
        <w:t>These meetings will be recorded</w:t>
      </w:r>
      <w:r w:rsidR="00A73B80">
        <w:t xml:space="preserve"> and shared with the Parties</w:t>
      </w:r>
      <w:r w:rsidR="001562B5">
        <w:t>.</w:t>
      </w:r>
    </w:p>
    <w:p w14:paraId="2C9696E0" w14:textId="0AF3EB0C" w:rsidR="0092797E" w:rsidRDefault="00F62BC5" w:rsidP="005521DD">
      <w:pPr>
        <w:pStyle w:val="ListParagraph"/>
        <w:numPr>
          <w:ilvl w:val="0"/>
          <w:numId w:val="45"/>
        </w:numPr>
      </w:pPr>
      <w:r>
        <w:lastRenderedPageBreak/>
        <w:t>The Decision-</w:t>
      </w:r>
      <w:r w:rsidR="00A73B80">
        <w:t>m</w:t>
      </w:r>
      <w:r>
        <w:t xml:space="preserve">aker will then apply the </w:t>
      </w:r>
      <w:r w:rsidRPr="00ED3CAB">
        <w:rPr>
          <w:highlight w:val="lightGray"/>
        </w:rPr>
        <w:t>[preponderance of the evidence standard]</w:t>
      </w:r>
      <w:r>
        <w:t xml:space="preserve"> to </w:t>
      </w:r>
      <w:proofErr w:type="gramStart"/>
      <w:r>
        <w:t>make a determination</w:t>
      </w:r>
      <w:proofErr w:type="gramEnd"/>
      <w:r>
        <w:t xml:space="preserve"> on each of the allegations and, if applicable, any attendant sanctions. </w:t>
      </w:r>
    </w:p>
    <w:p w14:paraId="1A5B3429" w14:textId="1C27F627" w:rsidR="00447DC3" w:rsidRDefault="00447DC3" w:rsidP="005521DD">
      <w:pPr>
        <w:pStyle w:val="ListParagraph"/>
        <w:numPr>
          <w:ilvl w:val="0"/>
          <w:numId w:val="45"/>
        </w:numPr>
      </w:pPr>
      <w:r w:rsidRPr="00F539C8">
        <w:rPr>
          <w:b/>
          <w:bCs/>
        </w:rPr>
        <w:t>Timeline.</w:t>
      </w:r>
      <w:r>
        <w:t xml:space="preserve"> </w:t>
      </w:r>
      <w:r w:rsidR="0092797E">
        <w:t>The Decision-</w:t>
      </w:r>
      <w:r w:rsidR="0009500B">
        <w:t>m</w:t>
      </w:r>
      <w:r w:rsidR="0092797E">
        <w:t xml:space="preserve">aker’s </w:t>
      </w:r>
      <w:r w:rsidR="0009500B">
        <w:t>d</w:t>
      </w:r>
      <w:r w:rsidR="0092797E">
        <w:t xml:space="preserve">etermination process typically takes approximately </w:t>
      </w:r>
      <w:r w:rsidR="0092797E" w:rsidRPr="005D08D7">
        <w:rPr>
          <w:highlight w:val="lightGray"/>
        </w:rPr>
        <w:t>ten (10) business days</w:t>
      </w:r>
      <w:r w:rsidR="0092797E">
        <w:t xml:space="preserve">, but this timeframe can vary based on </w:t>
      </w:r>
      <w:proofErr w:type="gramStart"/>
      <w:r w:rsidR="0092797E">
        <w:t>a number of</w:t>
      </w:r>
      <w:proofErr w:type="gramEnd"/>
      <w:r w:rsidR="0092797E">
        <w:t xml:space="preserve"> factors and variables, The </w:t>
      </w:r>
      <w:r w:rsidR="0028631C">
        <w:t>Parties</w:t>
      </w:r>
      <w:r w:rsidR="0092797E">
        <w:t xml:space="preserve"> will be notified of any delays</w:t>
      </w:r>
      <w:r w:rsidR="0009500B">
        <w:t>.</w:t>
      </w:r>
    </w:p>
    <w:p w14:paraId="7538F818" w14:textId="29F6CD23" w:rsidR="00515E36" w:rsidRDefault="0043611D" w:rsidP="005521DD">
      <w:pPr>
        <w:pStyle w:val="ListParagraph"/>
        <w:numPr>
          <w:ilvl w:val="0"/>
          <w:numId w:val="45"/>
        </w:numPr>
      </w:pPr>
      <w:r w:rsidRPr="00447DC3">
        <w:rPr>
          <w:b/>
          <w:bCs/>
        </w:rPr>
        <w:t>Impact Statements</w:t>
      </w:r>
      <w:r>
        <w:t xml:space="preserve">. Prior to a determination, the </w:t>
      </w:r>
      <w:r w:rsidRPr="00ED3CAB">
        <w:rPr>
          <w:highlight w:val="lightGray"/>
        </w:rPr>
        <w:t>Administrator</w:t>
      </w:r>
      <w:r>
        <w:t xml:space="preserve"> will also provide the </w:t>
      </w:r>
      <w:proofErr w:type="gramStart"/>
      <w:r w:rsidR="0009500B">
        <w:t>P</w:t>
      </w:r>
      <w:r>
        <w:t>arties</w:t>
      </w:r>
      <w:proofErr w:type="gramEnd"/>
      <w:r>
        <w:t xml:space="preserve"> an </w:t>
      </w:r>
      <w:r w:rsidRPr="00B71743">
        <w:t xml:space="preserve">opportunity </w:t>
      </w:r>
      <w:r w:rsidR="003B41EF">
        <w:t xml:space="preserve">to </w:t>
      </w:r>
      <w:r w:rsidRPr="00F539C8">
        <w:t xml:space="preserve">submit a written impact and/or mitigation statement. The </w:t>
      </w:r>
      <w:r w:rsidRPr="00ED3CAB">
        <w:rPr>
          <w:highlight w:val="lightGray"/>
        </w:rPr>
        <w:t>Administrator</w:t>
      </w:r>
      <w:r w:rsidRPr="00F539C8">
        <w:t xml:space="preserve"> will review these </w:t>
      </w:r>
      <w:r w:rsidR="0009500B">
        <w:t xml:space="preserve">statements </w:t>
      </w:r>
      <w:r w:rsidRPr="00F539C8">
        <w:t>upon receipt to determine whether there are any immediate needs, issues, or concerns, but will otherwise hold them until after the Decision-maker has made determinations on the allegations</w:t>
      </w:r>
      <w:r w:rsidRPr="00B71743">
        <w:t xml:space="preserve">. If there are any findings of a </w:t>
      </w:r>
      <w:r w:rsidR="00D715ED">
        <w:t>P</w:t>
      </w:r>
      <w:r w:rsidRPr="00B71743">
        <w:t>olicy violation, the Decision-</w:t>
      </w:r>
      <w:r w:rsidR="0009500B">
        <w:t>m</w:t>
      </w:r>
      <w:r w:rsidRPr="00B71743">
        <w:t>aker will request the Impact</w:t>
      </w:r>
      <w:r>
        <w:t xml:space="preserve"> Statements from the </w:t>
      </w:r>
      <w:r w:rsidRPr="00ED3CAB">
        <w:rPr>
          <w:highlight w:val="lightGray"/>
        </w:rPr>
        <w:t>Administrator</w:t>
      </w:r>
      <w:r>
        <w:t xml:space="preserve"> and review them prior to determining sanctions. </w:t>
      </w:r>
      <w:r w:rsidR="0009500B">
        <w:t xml:space="preserve">They will also be exchanged </w:t>
      </w:r>
      <w:r w:rsidR="001326D3">
        <w:t>between the Parties at that time.</w:t>
      </w:r>
    </w:p>
    <w:p w14:paraId="2524D149" w14:textId="3284D070" w:rsidR="001326D3" w:rsidRDefault="00515E36" w:rsidP="005521DD">
      <w:pPr>
        <w:pStyle w:val="ListParagraph"/>
        <w:numPr>
          <w:ilvl w:val="0"/>
          <w:numId w:val="45"/>
        </w:numPr>
      </w:pPr>
      <w:r>
        <w:t>If it is later</w:t>
      </w:r>
      <w:r w:rsidRPr="00515E36">
        <w:t xml:space="preserve"> </w:t>
      </w:r>
      <w:r>
        <w:t xml:space="preserve">determined that a party or witness intentionally provided false or misleading information, that action could be grounds for re-opening a </w:t>
      </w:r>
      <w:r w:rsidR="001326D3">
        <w:t>R</w:t>
      </w:r>
      <w:r>
        <w:t xml:space="preserve">esolution </w:t>
      </w:r>
      <w:r w:rsidR="001326D3">
        <w:t>P</w:t>
      </w:r>
      <w:r>
        <w:t>rocess at any time, and/or referring that information to another process for resolution.</w:t>
      </w:r>
    </w:p>
    <w:p w14:paraId="01A49533" w14:textId="77777777" w:rsidR="001326D3" w:rsidRPr="001326D3" w:rsidRDefault="001326D3" w:rsidP="00ED3CAB">
      <w:bookmarkStart w:id="132" w:name="_Toc82511682"/>
      <w:bookmarkStart w:id="133" w:name="_Toc102394004"/>
    </w:p>
    <w:p w14:paraId="7F16EF05" w14:textId="00708C76" w:rsidR="00447DC3" w:rsidRDefault="00447DC3" w:rsidP="00447DC3">
      <w:pPr>
        <w:pStyle w:val="Heading1"/>
      </w:pPr>
      <w:bookmarkStart w:id="134" w:name="_Toc168477560"/>
      <w:r>
        <w:t>Sanctions</w:t>
      </w:r>
      <w:bookmarkEnd w:id="134"/>
    </w:p>
    <w:p w14:paraId="2DDC9558" w14:textId="77777777" w:rsidR="00447DC3" w:rsidRDefault="00447DC3" w:rsidP="00447DC3"/>
    <w:p w14:paraId="025A147C" w14:textId="35CFA9A0" w:rsidR="00447DC3" w:rsidRDefault="00447DC3" w:rsidP="00447DC3">
      <w:r>
        <w:t>Factors considered by the Decision-maker when determining sanctions and responsive action</w:t>
      </w:r>
      <w:r w:rsidR="00A73754">
        <w:t>s</w:t>
      </w:r>
      <w:r>
        <w:t xml:space="preserve"> may include, but are not limited to: </w:t>
      </w:r>
    </w:p>
    <w:p w14:paraId="54D07F69" w14:textId="77777777" w:rsidR="00447DC3" w:rsidRDefault="00447DC3" w:rsidP="00447DC3"/>
    <w:p w14:paraId="5DB4B8FC" w14:textId="77777777" w:rsidR="00447DC3" w:rsidRDefault="00447DC3" w:rsidP="005521DD">
      <w:pPr>
        <w:pStyle w:val="ListParagraph"/>
        <w:numPr>
          <w:ilvl w:val="0"/>
          <w:numId w:val="23"/>
        </w:numPr>
      </w:pPr>
      <w:r>
        <w:t xml:space="preserve">The nature, severity of, and circumstances surrounding the violation(s) </w:t>
      </w:r>
    </w:p>
    <w:p w14:paraId="79298438" w14:textId="77777777" w:rsidR="00447DC3" w:rsidRDefault="00447DC3" w:rsidP="005521DD">
      <w:pPr>
        <w:pStyle w:val="ListParagraph"/>
        <w:numPr>
          <w:ilvl w:val="0"/>
          <w:numId w:val="23"/>
        </w:numPr>
      </w:pPr>
      <w:r>
        <w:t xml:space="preserve">The Respondent’s disciplinary history </w:t>
      </w:r>
    </w:p>
    <w:p w14:paraId="48C24F08" w14:textId="77777777" w:rsidR="00447DC3" w:rsidRDefault="00447DC3" w:rsidP="005521DD">
      <w:pPr>
        <w:pStyle w:val="ListParagraph"/>
        <w:numPr>
          <w:ilvl w:val="0"/>
          <w:numId w:val="23"/>
        </w:numPr>
      </w:pPr>
      <w:r>
        <w:t>The need for sanctions/responsive actions to bring an end to the discrimination, harassment, and/or retaliation</w:t>
      </w:r>
    </w:p>
    <w:p w14:paraId="615EB4F4" w14:textId="77777777" w:rsidR="00447DC3" w:rsidRDefault="00447DC3" w:rsidP="005521DD">
      <w:pPr>
        <w:pStyle w:val="ListParagraph"/>
        <w:numPr>
          <w:ilvl w:val="0"/>
          <w:numId w:val="23"/>
        </w:numPr>
      </w:pPr>
      <w:r>
        <w:t>The need for sanctions/responsive actions to prevent the future recurrence of discrimination, harassment, and/or retaliation</w:t>
      </w:r>
    </w:p>
    <w:p w14:paraId="0950E6AF" w14:textId="77777777" w:rsidR="00447DC3" w:rsidRDefault="00447DC3" w:rsidP="005521DD">
      <w:pPr>
        <w:pStyle w:val="ListParagraph"/>
        <w:numPr>
          <w:ilvl w:val="0"/>
          <w:numId w:val="23"/>
        </w:numPr>
      </w:pPr>
      <w:r>
        <w:t xml:space="preserve">The need to remedy the effects of </w:t>
      </w:r>
      <w:proofErr w:type="gramStart"/>
      <w:r>
        <w:t>the discrimination</w:t>
      </w:r>
      <w:proofErr w:type="gramEnd"/>
      <w:r>
        <w:t>, harassment, and/or retaliation on the Complainant and the community</w:t>
      </w:r>
    </w:p>
    <w:p w14:paraId="7FAE8C94" w14:textId="2C3D287D" w:rsidR="00447DC3" w:rsidRDefault="00447DC3" w:rsidP="005521DD">
      <w:pPr>
        <w:pStyle w:val="ListParagraph"/>
        <w:numPr>
          <w:ilvl w:val="0"/>
          <w:numId w:val="23"/>
        </w:numPr>
      </w:pPr>
      <w:r>
        <w:t xml:space="preserve">The impact on the </w:t>
      </w:r>
      <w:r w:rsidR="00E51C37">
        <w:t>P</w:t>
      </w:r>
      <w:r>
        <w:t>arties</w:t>
      </w:r>
    </w:p>
    <w:p w14:paraId="66541521" w14:textId="77777777" w:rsidR="00447DC3" w:rsidRDefault="00447DC3" w:rsidP="005521DD">
      <w:pPr>
        <w:pStyle w:val="ListParagraph"/>
        <w:numPr>
          <w:ilvl w:val="0"/>
          <w:numId w:val="23"/>
        </w:numPr>
      </w:pPr>
      <w:r>
        <w:t>Any other information deemed relevant by the Decision-maker(s)</w:t>
      </w:r>
    </w:p>
    <w:p w14:paraId="42BB8D7F" w14:textId="77777777" w:rsidR="00447DC3" w:rsidRDefault="00447DC3" w:rsidP="00447DC3"/>
    <w:p w14:paraId="30301A4D" w14:textId="41F84CCC" w:rsidR="00447DC3" w:rsidRDefault="00447DC3" w:rsidP="00447DC3">
      <w:r>
        <w:t xml:space="preserve">The sanctions will be implemented as soon as </w:t>
      </w:r>
      <w:r w:rsidR="008470C8">
        <w:t xml:space="preserve">it </w:t>
      </w:r>
      <w:r>
        <w:t>is feasible</w:t>
      </w:r>
      <w:r w:rsidR="00B71743">
        <w:t xml:space="preserve"> once a determination is final</w:t>
      </w:r>
      <w:r w:rsidR="008470C8">
        <w:t>,</w:t>
      </w:r>
      <w:r w:rsidR="00B71743">
        <w:t xml:space="preserve"> </w:t>
      </w:r>
      <w:r>
        <w:t>either upon the outcome of any appeal or the expiration of the window to appeal</w:t>
      </w:r>
      <w:r w:rsidR="002F6ABB">
        <w:t>,</w:t>
      </w:r>
      <w:r>
        <w:t xml:space="preserve"> without an appeal being requested. </w:t>
      </w:r>
    </w:p>
    <w:p w14:paraId="406DDBA8" w14:textId="77777777" w:rsidR="00447DC3" w:rsidRDefault="00447DC3" w:rsidP="00447DC3"/>
    <w:p w14:paraId="51909425" w14:textId="77777777" w:rsidR="00447DC3" w:rsidRDefault="00447DC3" w:rsidP="00447DC3">
      <w:r>
        <w:t xml:space="preserve">The sanctions described in this Policy are not exclusive of, and may be in addition to, other actions taken, or sanctions imposed, by external authorities. </w:t>
      </w:r>
    </w:p>
    <w:p w14:paraId="329040A9" w14:textId="77777777" w:rsidR="00447DC3" w:rsidRDefault="00447DC3" w:rsidP="00447DC3"/>
    <w:p w14:paraId="630D587A" w14:textId="77777777" w:rsidR="00447DC3" w:rsidRDefault="00447DC3" w:rsidP="00447DC3">
      <w:pPr>
        <w:pStyle w:val="Heading2"/>
      </w:pPr>
      <w:bookmarkStart w:id="135" w:name="_Toc168477561"/>
      <w:r>
        <w:lastRenderedPageBreak/>
        <w:t>Student Sanctions</w:t>
      </w:r>
      <w:r w:rsidRPr="00AF3A31">
        <w:rPr>
          <w:rStyle w:val="FootnoteReference"/>
          <w:b w:val="0"/>
          <w:bCs w:val="0"/>
        </w:rPr>
        <w:footnoteReference w:id="33"/>
      </w:r>
      <w:bookmarkEnd w:id="135"/>
    </w:p>
    <w:p w14:paraId="12082C4C" w14:textId="77777777" w:rsidR="00447DC3" w:rsidRDefault="00447DC3" w:rsidP="00447DC3"/>
    <w:p w14:paraId="5E980945" w14:textId="77777777" w:rsidR="00447DC3" w:rsidRDefault="00447DC3" w:rsidP="00447DC3">
      <w:pPr>
        <w:ind w:left="720"/>
      </w:pPr>
      <w:r>
        <w:t xml:space="preserve">The following are the common sanctions that may be imposed upon students singly or in combination: </w:t>
      </w:r>
    </w:p>
    <w:p w14:paraId="09A8759C" w14:textId="77777777" w:rsidR="00447DC3" w:rsidRDefault="00447DC3" w:rsidP="00447DC3">
      <w:pPr>
        <w:ind w:left="1080"/>
      </w:pPr>
    </w:p>
    <w:p w14:paraId="1EB49779" w14:textId="4147080B" w:rsidR="00447DC3" w:rsidRDefault="00B71743" w:rsidP="005521DD">
      <w:pPr>
        <w:pStyle w:val="ListParagraph"/>
        <w:numPr>
          <w:ilvl w:val="0"/>
          <w:numId w:val="24"/>
        </w:numPr>
      </w:pPr>
      <w:r>
        <w:rPr>
          <w:i/>
          <w:iCs/>
        </w:rPr>
        <w:t>Reprimand</w:t>
      </w:r>
      <w:r w:rsidR="00447DC3">
        <w:t xml:space="preserve">: A formal statement that the conduct was unacceptable and a warning that further violation of any </w:t>
      </w:r>
      <w:r w:rsidR="00447DC3" w:rsidRPr="0030743B">
        <w:rPr>
          <w:highlight w:val="lightGray"/>
        </w:rPr>
        <w:t>Recipient</w:t>
      </w:r>
      <w:r w:rsidR="00447DC3">
        <w:t xml:space="preserve"> </w:t>
      </w:r>
      <w:r w:rsidR="00D715ED">
        <w:t>P</w:t>
      </w:r>
      <w:r w:rsidR="00447DC3">
        <w:t xml:space="preserve">olicy, procedure, or directive will result in more severe sanctions/responsive actions. </w:t>
      </w:r>
    </w:p>
    <w:p w14:paraId="380A5ADB" w14:textId="77777777" w:rsidR="00B71743" w:rsidRPr="00E51C37" w:rsidRDefault="00447DC3" w:rsidP="005521DD">
      <w:pPr>
        <w:pStyle w:val="ListParagraph"/>
        <w:numPr>
          <w:ilvl w:val="0"/>
          <w:numId w:val="24"/>
        </w:numPr>
      </w:pPr>
      <w:r w:rsidRPr="0030743B">
        <w:rPr>
          <w:i/>
          <w:iCs/>
        </w:rPr>
        <w:t>Required Counseling</w:t>
      </w:r>
      <w:r>
        <w:t xml:space="preserve">: A mandate to meet with and engage in either </w:t>
      </w:r>
      <w:r w:rsidRPr="0030743B">
        <w:rPr>
          <w:highlight w:val="lightGray"/>
        </w:rPr>
        <w:t>Recipient</w:t>
      </w:r>
      <w:r>
        <w:t>-</w:t>
      </w:r>
      <w:r w:rsidRPr="00E51C37">
        <w:t xml:space="preserve">sponsored or external counseling to better comprehend the misconduct and its effects.  </w:t>
      </w:r>
    </w:p>
    <w:p w14:paraId="1123C078" w14:textId="2C738B7C" w:rsidR="00447DC3" w:rsidRPr="00E51C37" w:rsidRDefault="00B71743" w:rsidP="005521DD">
      <w:pPr>
        <w:pStyle w:val="ListParagraph"/>
        <w:numPr>
          <w:ilvl w:val="0"/>
          <w:numId w:val="24"/>
        </w:numPr>
      </w:pPr>
      <w:r w:rsidRPr="00E51C37">
        <w:rPr>
          <w:i/>
          <w:iCs/>
        </w:rPr>
        <w:t>Restrictions</w:t>
      </w:r>
      <w:r w:rsidRPr="00E51C37">
        <w:t xml:space="preserve">: </w:t>
      </w:r>
      <w:r w:rsidR="00515E36" w:rsidRPr="00E51C37">
        <w:t>A student may be restricted in their activities</w:t>
      </w:r>
      <w:r w:rsidR="0027212F">
        <w:t>,</w:t>
      </w:r>
      <w:r w:rsidR="00515E36" w:rsidRPr="00E51C37">
        <w:t xml:space="preserve"> including, but not limited to, being restricted from locations, programs, participation in certain activities or extracurriculars, study abroad, </w:t>
      </w:r>
      <w:proofErr w:type="gramStart"/>
      <w:r w:rsidR="00515E36" w:rsidRPr="00E51C37">
        <w:t>or from</w:t>
      </w:r>
      <w:proofErr w:type="gramEnd"/>
      <w:r w:rsidR="00515E36" w:rsidRPr="00E51C37">
        <w:t xml:space="preserve"> holding leadership in student organizations. </w:t>
      </w:r>
    </w:p>
    <w:p w14:paraId="5C79B5A6" w14:textId="6DA6F5D0" w:rsidR="0050786D" w:rsidRDefault="00447DC3" w:rsidP="005521DD">
      <w:pPr>
        <w:pStyle w:val="ListParagraph"/>
        <w:numPr>
          <w:ilvl w:val="0"/>
          <w:numId w:val="24"/>
        </w:numPr>
      </w:pPr>
      <w:r w:rsidRPr="00E51C37">
        <w:rPr>
          <w:i/>
          <w:iCs/>
        </w:rPr>
        <w:t>Probation</w:t>
      </w:r>
      <w:r w:rsidRPr="00E51C37">
        <w:t xml:space="preserve">: An official </w:t>
      </w:r>
      <w:r w:rsidR="00F240C0">
        <w:t>sanction</w:t>
      </w:r>
      <w:r w:rsidR="00F240C0" w:rsidRPr="00E51C37">
        <w:t xml:space="preserve"> </w:t>
      </w:r>
      <w:r w:rsidRPr="00E51C37">
        <w:t xml:space="preserve">for violation of institutional </w:t>
      </w:r>
      <w:r w:rsidR="00D715ED">
        <w:t>P</w:t>
      </w:r>
      <w:r w:rsidRPr="00E51C37">
        <w:t xml:space="preserve">olicy, providing for more severe disciplinary sanctions </w:t>
      </w:r>
      <w:proofErr w:type="gramStart"/>
      <w:r w:rsidRPr="00E51C37">
        <w:t>in the event that</w:t>
      </w:r>
      <w:proofErr w:type="gramEnd"/>
      <w:r w:rsidRPr="00E51C37">
        <w:t xml:space="preserve"> the student is found in violation of any institutional </w:t>
      </w:r>
      <w:r w:rsidR="00D715ED">
        <w:t>P</w:t>
      </w:r>
      <w:r w:rsidRPr="00E51C37">
        <w:t xml:space="preserve">olicy, procedure, or directive within a specified period of time. Terms of the probation will be articulated and may include denial of specified social privileges, exclusion from co-curricular activities, exclusion from designated areas of campus, no-contact orders, and/or other measures </w:t>
      </w:r>
      <w:r w:rsidRPr="000F2C4F">
        <w:t xml:space="preserve">deemed appropriate. </w:t>
      </w:r>
    </w:p>
    <w:p w14:paraId="6EFE7128" w14:textId="1DF8DF74" w:rsidR="00447DC3" w:rsidRPr="00AF4053" w:rsidRDefault="0050786D" w:rsidP="005521DD">
      <w:pPr>
        <w:pStyle w:val="ListParagraph"/>
        <w:numPr>
          <w:ilvl w:val="0"/>
          <w:numId w:val="24"/>
        </w:numPr>
      </w:pPr>
      <w:r>
        <w:rPr>
          <w:i/>
          <w:iCs/>
        </w:rPr>
        <w:t>Su</w:t>
      </w:r>
      <w:r w:rsidRPr="0050786D">
        <w:rPr>
          <w:i/>
          <w:iCs/>
        </w:rPr>
        <w:t>spension</w:t>
      </w:r>
      <w:r w:rsidRPr="0050786D">
        <w:t xml:space="preserve">: Separation from the institution, or one or more of its facilities, for a definite </w:t>
      </w:r>
      <w:proofErr w:type="gramStart"/>
      <w:r w:rsidRPr="0050786D">
        <w:t>period of time</w:t>
      </w:r>
      <w:proofErr w:type="gramEnd"/>
      <w:r w:rsidR="002B0F71">
        <w:t>,</w:t>
      </w:r>
      <w:r w:rsidRPr="0050786D">
        <w:t xml:space="preserve"> typically not to exceed two years, after which the student is eligible to return. Eligibility may be contingent upon satisfaction of specific conditions noted at the time of suspension, on successfully applying for readmission, or upon a general condition that the student is eligible to return if the institution determines it is appropriate to re-enroll/readmit the student. The student is typically required to vacate institutional property within 24 hours of notification of the action, though this deadline may be extended at the discretion of the </w:t>
      </w:r>
      <w:r w:rsidRPr="00AF4053">
        <w:rPr>
          <w:highlight w:val="lightGray"/>
        </w:rPr>
        <w:t>Administrator</w:t>
      </w:r>
      <w:r w:rsidRPr="0050786D">
        <w:t xml:space="preserve"> or other appropriate official. During an institution-wide suspension, the student is banned from institutional property, functions, events, and activities unless they receive prior written approval from an appropriate institutional official. This sanction may be enforced with </w:t>
      </w:r>
      <w:proofErr w:type="gramStart"/>
      <w:r w:rsidRPr="0050786D">
        <w:t>a trespass</w:t>
      </w:r>
      <w:proofErr w:type="gramEnd"/>
      <w:r w:rsidRPr="0050786D">
        <w:t xml:space="preserve"> action, as necessary. </w:t>
      </w:r>
      <w:r w:rsidRPr="00AF4053">
        <w:rPr>
          <w:highlight w:val="lightGray"/>
        </w:rPr>
        <w:t>[This sanction may be noted as a Disciplinary Suspension on the student’s official academic transcript, per institutional policy and/or state law.]</w:t>
      </w:r>
    </w:p>
    <w:p w14:paraId="32480B49" w14:textId="38203810" w:rsidR="00447DC3" w:rsidRDefault="00447DC3" w:rsidP="005521DD">
      <w:pPr>
        <w:pStyle w:val="ListParagraph"/>
        <w:numPr>
          <w:ilvl w:val="0"/>
          <w:numId w:val="24"/>
        </w:numPr>
      </w:pPr>
      <w:r w:rsidRPr="0030743B">
        <w:rPr>
          <w:i/>
          <w:iCs/>
        </w:rPr>
        <w:t>Expulsion</w:t>
      </w:r>
      <w:r>
        <w:t>: Permanent separation from the institution. The student is banned from institutional property</w:t>
      </w:r>
      <w:r w:rsidR="002C666D">
        <w:t>,</w:t>
      </w:r>
      <w:r>
        <w:t xml:space="preserve"> and the student’s presence at any institution-sponsored activity or event is prohibited. This action may be enforced with a trespass action, as necessary. </w:t>
      </w:r>
      <w:r w:rsidRPr="00AF3A31">
        <w:rPr>
          <w:highlight w:val="lightGray"/>
        </w:rPr>
        <w:t xml:space="preserve">[This sanction may be noted as Disciplinary </w:t>
      </w:r>
      <w:r w:rsidRPr="00AF3A31">
        <w:rPr>
          <w:highlight w:val="lightGray"/>
        </w:rPr>
        <w:lastRenderedPageBreak/>
        <w:t>Expulsion on the student’s official academic transcript, per institutional policy and/or state law.]</w:t>
      </w:r>
      <w:r w:rsidRPr="00773E09">
        <w:rPr>
          <w:u w:val="single"/>
        </w:rPr>
        <w:t xml:space="preserve"> </w:t>
      </w:r>
    </w:p>
    <w:p w14:paraId="10E5BDD3" w14:textId="1846E297" w:rsidR="00447DC3" w:rsidRPr="00ED3CAB" w:rsidRDefault="00447DC3" w:rsidP="005521DD">
      <w:pPr>
        <w:pStyle w:val="ListParagraph"/>
        <w:numPr>
          <w:ilvl w:val="0"/>
          <w:numId w:val="24"/>
        </w:numPr>
      </w:pPr>
      <w:r w:rsidRPr="00ED3CAB">
        <w:rPr>
          <w:i/>
          <w:iCs/>
        </w:rPr>
        <w:t>Withholding Diploma</w:t>
      </w:r>
      <w:r w:rsidRPr="00ED3CAB">
        <w:t xml:space="preserve">: The </w:t>
      </w:r>
      <w:r w:rsidRPr="00ED3CAB">
        <w:rPr>
          <w:highlight w:val="lightGray"/>
        </w:rPr>
        <w:t>Recipient</w:t>
      </w:r>
      <w:r w:rsidRPr="00ED3CAB">
        <w:t xml:space="preserve"> may withhold a student’s diploma for a specified </w:t>
      </w:r>
      <w:proofErr w:type="gramStart"/>
      <w:r w:rsidRPr="00ED3CAB">
        <w:t>period of time</w:t>
      </w:r>
      <w:proofErr w:type="gramEnd"/>
      <w:r w:rsidRPr="00ED3CAB">
        <w:t xml:space="preserve"> and/or deny a student participation in commencement activities as a sanction if the student is found responsible for violating </w:t>
      </w:r>
      <w:r w:rsidR="00D715ED">
        <w:t>P</w:t>
      </w:r>
      <w:r w:rsidRPr="00ED3CAB">
        <w:t xml:space="preserve">olicy. </w:t>
      </w:r>
    </w:p>
    <w:p w14:paraId="58AFF402" w14:textId="442C2A9B" w:rsidR="00447DC3" w:rsidRDefault="00447DC3" w:rsidP="005521DD">
      <w:pPr>
        <w:pStyle w:val="ListParagraph"/>
        <w:numPr>
          <w:ilvl w:val="0"/>
          <w:numId w:val="24"/>
        </w:numPr>
      </w:pPr>
      <w:r w:rsidRPr="0030743B">
        <w:rPr>
          <w:i/>
          <w:iCs/>
        </w:rPr>
        <w:t>Revocation of Degree</w:t>
      </w:r>
      <w:r>
        <w:t xml:space="preserve">: </w:t>
      </w:r>
      <w:r w:rsidR="00B71743">
        <w:t>While very rarely employed, t</w:t>
      </w:r>
      <w:r>
        <w:t xml:space="preserve">he </w:t>
      </w:r>
      <w:r w:rsidRPr="0030743B">
        <w:rPr>
          <w:highlight w:val="lightGray"/>
        </w:rPr>
        <w:t>Recipient</w:t>
      </w:r>
      <w:r>
        <w:t xml:space="preserve"> reserves the right to revoke a degree previously awarded from the </w:t>
      </w:r>
      <w:r w:rsidRPr="0030743B">
        <w:rPr>
          <w:highlight w:val="lightGray"/>
        </w:rPr>
        <w:t>Recipient</w:t>
      </w:r>
      <w:r>
        <w:t xml:space="preserve"> for fraud, misrepresentation, and/or other violation of </w:t>
      </w:r>
      <w:r w:rsidRPr="0030743B">
        <w:rPr>
          <w:highlight w:val="lightGray"/>
        </w:rPr>
        <w:t>Recipient</w:t>
      </w:r>
      <w:r>
        <w:t xml:space="preserve"> policies, procedures, or directives in obtaining the degree, or for other serious violations committed by a student prior to graduation. </w:t>
      </w:r>
    </w:p>
    <w:p w14:paraId="7130DEF2" w14:textId="612AC935" w:rsidR="00447DC3" w:rsidRDefault="00447DC3" w:rsidP="005521DD">
      <w:pPr>
        <w:pStyle w:val="ListParagraph"/>
        <w:numPr>
          <w:ilvl w:val="0"/>
          <w:numId w:val="24"/>
        </w:numPr>
      </w:pPr>
      <w:r w:rsidRPr="0030743B">
        <w:rPr>
          <w:i/>
          <w:iCs/>
        </w:rPr>
        <w:t>Other Actions</w:t>
      </w:r>
      <w:r>
        <w:t>: In addition to</w:t>
      </w:r>
      <w:r w:rsidR="005F7B1B">
        <w:t>,</w:t>
      </w:r>
      <w:r>
        <w:t xml:space="preserve"> or in place of</w:t>
      </w:r>
      <w:r w:rsidR="005F7B1B">
        <w:t>,</w:t>
      </w:r>
      <w:r>
        <w:t xml:space="preserve"> the above sanctions, the </w:t>
      </w:r>
      <w:r w:rsidRPr="0030743B">
        <w:rPr>
          <w:highlight w:val="lightGray"/>
        </w:rPr>
        <w:t>Recipient</w:t>
      </w:r>
      <w:r>
        <w:t xml:space="preserve"> may assign any other sanctions as deemed appropriate.</w:t>
      </w:r>
    </w:p>
    <w:p w14:paraId="7AE5CB2B" w14:textId="77777777" w:rsidR="00447DC3" w:rsidRDefault="00447DC3" w:rsidP="00447DC3"/>
    <w:p w14:paraId="5CB027FB" w14:textId="77777777" w:rsidR="00447DC3" w:rsidRDefault="00447DC3" w:rsidP="00447DC3">
      <w:pPr>
        <w:pStyle w:val="Heading2"/>
      </w:pPr>
      <w:bookmarkStart w:id="136" w:name="_Toc168477562"/>
      <w:r>
        <w:t>Student Group and Organization Sanctions</w:t>
      </w:r>
      <w:r w:rsidRPr="00AF3A31">
        <w:rPr>
          <w:rStyle w:val="FootnoteReference"/>
          <w:b w:val="0"/>
          <w:bCs w:val="0"/>
        </w:rPr>
        <w:footnoteReference w:id="34"/>
      </w:r>
      <w:bookmarkEnd w:id="136"/>
    </w:p>
    <w:p w14:paraId="6CFAAFA8" w14:textId="77777777" w:rsidR="00447DC3" w:rsidRDefault="00447DC3" w:rsidP="00447DC3"/>
    <w:p w14:paraId="6831BA50" w14:textId="77777777" w:rsidR="00447DC3" w:rsidRDefault="00447DC3" w:rsidP="00447DC3">
      <w:pPr>
        <w:ind w:left="720"/>
      </w:pPr>
      <w:r>
        <w:t xml:space="preserve">The following are the common sanctions that may be imposed upon student organizations singly or in combination: </w:t>
      </w:r>
    </w:p>
    <w:p w14:paraId="56C579AF" w14:textId="77777777" w:rsidR="00447DC3" w:rsidRDefault="00447DC3" w:rsidP="00447DC3">
      <w:pPr>
        <w:ind w:left="720"/>
      </w:pPr>
    </w:p>
    <w:p w14:paraId="70DA1A9E" w14:textId="726F7CB7" w:rsidR="00447DC3" w:rsidRDefault="00447DC3" w:rsidP="005521DD">
      <w:pPr>
        <w:pStyle w:val="ListParagraph"/>
        <w:numPr>
          <w:ilvl w:val="0"/>
          <w:numId w:val="25"/>
        </w:numPr>
      </w:pPr>
      <w:r w:rsidRPr="0030743B">
        <w:rPr>
          <w:i/>
          <w:iCs/>
        </w:rPr>
        <w:t>Warning</w:t>
      </w:r>
      <w:r>
        <w:t xml:space="preserve">: A formal statement that the conduct was unacceptable and a warning that further violation of any </w:t>
      </w:r>
      <w:r w:rsidRPr="0030743B">
        <w:rPr>
          <w:highlight w:val="lightGray"/>
        </w:rPr>
        <w:t>Recipient</w:t>
      </w:r>
      <w:r>
        <w:t xml:space="preserve"> </w:t>
      </w:r>
      <w:r w:rsidR="00D715ED">
        <w:t>P</w:t>
      </w:r>
      <w:r>
        <w:t xml:space="preserve">olicy, procedure, or directive will result in more severe sanctions/responsive actions. </w:t>
      </w:r>
    </w:p>
    <w:p w14:paraId="7A3C1CC0" w14:textId="05D7F232" w:rsidR="00447DC3" w:rsidRDefault="00447DC3" w:rsidP="005521DD">
      <w:pPr>
        <w:pStyle w:val="ListParagraph"/>
        <w:numPr>
          <w:ilvl w:val="0"/>
          <w:numId w:val="25"/>
        </w:numPr>
      </w:pPr>
      <w:r w:rsidRPr="0030743B">
        <w:rPr>
          <w:i/>
          <w:iCs/>
        </w:rPr>
        <w:t>Probation</w:t>
      </w:r>
      <w:r>
        <w:t xml:space="preserve">: An official </w:t>
      </w:r>
      <w:r w:rsidR="00F240C0">
        <w:t xml:space="preserve">sanction </w:t>
      </w:r>
      <w:r>
        <w:t xml:space="preserve">for violation of institutional </w:t>
      </w:r>
      <w:r w:rsidR="00D715ED">
        <w:t>P</w:t>
      </w:r>
      <w:r>
        <w:t xml:space="preserve">olicy, providing for more severe disciplinary sanctions </w:t>
      </w:r>
      <w:proofErr w:type="gramStart"/>
      <w:r>
        <w:t>in the event that</w:t>
      </w:r>
      <w:proofErr w:type="gramEnd"/>
      <w:r>
        <w:t xml:space="preserve"> the group or organization is found in violation of any institutional </w:t>
      </w:r>
      <w:r w:rsidR="00D715ED">
        <w:t>P</w:t>
      </w:r>
      <w:r>
        <w:t xml:space="preserve">olicy, procedure, or directive within a specified period of time. Terms of the probation will be articulated and may include denial of specified social and event privileges, denial of </w:t>
      </w:r>
      <w:r w:rsidRPr="0030743B">
        <w:rPr>
          <w:highlight w:val="lightGray"/>
        </w:rPr>
        <w:t>Recipient</w:t>
      </w:r>
      <w:r>
        <w:t xml:space="preserve"> funds, ineligibility for honors and awards, restrictions on new member recruitment, no-contact orders, and/or other measures deemed appropriate. </w:t>
      </w:r>
    </w:p>
    <w:p w14:paraId="6F27ED9B" w14:textId="12095946" w:rsidR="00447DC3" w:rsidRDefault="00447DC3" w:rsidP="005521DD">
      <w:pPr>
        <w:pStyle w:val="ListParagraph"/>
        <w:numPr>
          <w:ilvl w:val="0"/>
          <w:numId w:val="25"/>
        </w:numPr>
      </w:pPr>
      <w:r w:rsidRPr="0030743B">
        <w:rPr>
          <w:i/>
          <w:iCs/>
        </w:rPr>
        <w:t>Suspension</w:t>
      </w:r>
      <w:r>
        <w:t xml:space="preserve">: Termination of student group or organization recognition and/or institutional support for a definite </w:t>
      </w:r>
      <w:proofErr w:type="gramStart"/>
      <w:r>
        <w:t>period of time</w:t>
      </w:r>
      <w:proofErr w:type="gramEnd"/>
      <w:r>
        <w:t xml:space="preserve"> not to exceed two years and/or until specific criteria are met. During the suspension period, a student group or organization may not conduct any formal or informal business or participate in </w:t>
      </w:r>
      <w:r w:rsidRPr="0030743B">
        <w:rPr>
          <w:highlight w:val="lightGray"/>
        </w:rPr>
        <w:t>Recipient</w:t>
      </w:r>
      <w:r>
        <w:t>-related activities, whether they occur on</w:t>
      </w:r>
      <w:r w:rsidR="00EF0D0F">
        <w:t>-</w:t>
      </w:r>
      <w:r>
        <w:t xml:space="preserve"> or off</w:t>
      </w:r>
      <w:r w:rsidR="00EF0D0F">
        <w:t>-</w:t>
      </w:r>
      <w:r>
        <w:t xml:space="preserve">campus. Re-recognition is possible but not guaranteed and will only be considered after the end of the suspension period and based on meeting all re-recognition criteria and obtaining clearance from the </w:t>
      </w:r>
      <w:r w:rsidRPr="0030743B">
        <w:rPr>
          <w:highlight w:val="lightGray"/>
        </w:rPr>
        <w:t>Recipient</w:t>
      </w:r>
      <w:r>
        <w:t>.</w:t>
      </w:r>
    </w:p>
    <w:p w14:paraId="69D336E3" w14:textId="77777777" w:rsidR="00447DC3" w:rsidRDefault="00447DC3" w:rsidP="005521DD">
      <w:pPr>
        <w:pStyle w:val="ListParagraph"/>
        <w:numPr>
          <w:ilvl w:val="0"/>
          <w:numId w:val="25"/>
        </w:numPr>
      </w:pPr>
      <w:r w:rsidRPr="0030743B">
        <w:rPr>
          <w:i/>
          <w:iCs/>
        </w:rPr>
        <w:lastRenderedPageBreak/>
        <w:t>Expulsion</w:t>
      </w:r>
      <w:r>
        <w:t>: Permanent termination of student group organization recognition and revocation of the privilege to congregate and conduct business on campus as an organization for any reason.</w:t>
      </w:r>
    </w:p>
    <w:p w14:paraId="66ED8BBD" w14:textId="77777777" w:rsidR="00447DC3" w:rsidRDefault="00447DC3" w:rsidP="005521DD">
      <w:pPr>
        <w:pStyle w:val="ListParagraph"/>
        <w:numPr>
          <w:ilvl w:val="0"/>
          <w:numId w:val="25"/>
        </w:numPr>
      </w:pPr>
      <w:r w:rsidRPr="0030743B">
        <w:rPr>
          <w:i/>
          <w:iCs/>
        </w:rPr>
        <w:t>Loss of Privileges</w:t>
      </w:r>
      <w:r>
        <w:t xml:space="preserve">: Restricted from accessing specific </w:t>
      </w:r>
      <w:r w:rsidRPr="0030743B">
        <w:rPr>
          <w:highlight w:val="lightGray"/>
        </w:rPr>
        <w:t>Recipient</w:t>
      </w:r>
      <w:r>
        <w:t xml:space="preserve"> privileges for a specified </w:t>
      </w:r>
      <w:proofErr w:type="gramStart"/>
      <w:r>
        <w:t>period of time</w:t>
      </w:r>
      <w:proofErr w:type="gramEnd"/>
      <w:r>
        <w:t>.</w:t>
      </w:r>
    </w:p>
    <w:p w14:paraId="4216B35E" w14:textId="77777777" w:rsidR="00447DC3" w:rsidRDefault="00447DC3" w:rsidP="005521DD">
      <w:pPr>
        <w:pStyle w:val="ListParagraph"/>
        <w:numPr>
          <w:ilvl w:val="0"/>
          <w:numId w:val="25"/>
        </w:numPr>
      </w:pPr>
      <w:r w:rsidRPr="0030743B">
        <w:rPr>
          <w:i/>
          <w:iCs/>
        </w:rPr>
        <w:t>Other Actions</w:t>
      </w:r>
      <w:r>
        <w:t xml:space="preserve">: In addition to or in place of the above sanctions, the </w:t>
      </w:r>
      <w:r w:rsidRPr="0030743B">
        <w:rPr>
          <w:highlight w:val="lightGray"/>
        </w:rPr>
        <w:t>Recipient</w:t>
      </w:r>
      <w:r>
        <w:t xml:space="preserve"> may assign any other sanctions as deemed appropriate.</w:t>
      </w:r>
    </w:p>
    <w:p w14:paraId="7BEBF197" w14:textId="77777777" w:rsidR="00447DC3" w:rsidRDefault="00447DC3" w:rsidP="00447DC3">
      <w:pPr>
        <w:pStyle w:val="ListParagraph"/>
        <w:ind w:left="1440"/>
      </w:pPr>
    </w:p>
    <w:p w14:paraId="25A022E5" w14:textId="77777777" w:rsidR="00447DC3" w:rsidRDefault="00447DC3" w:rsidP="00447DC3">
      <w:pPr>
        <w:pStyle w:val="Heading2"/>
      </w:pPr>
      <w:bookmarkStart w:id="137" w:name="_Toc168477563"/>
      <w:r>
        <w:t>Employee Sanctions/Responsive/Corrective Actions</w:t>
      </w:r>
      <w:bookmarkEnd w:id="137"/>
    </w:p>
    <w:p w14:paraId="0B677A65" w14:textId="77777777" w:rsidR="00447DC3" w:rsidRDefault="00447DC3" w:rsidP="00447DC3"/>
    <w:p w14:paraId="1BCF27F2" w14:textId="77777777" w:rsidR="00447DC3" w:rsidRDefault="00447DC3" w:rsidP="00447DC3">
      <w:pPr>
        <w:ind w:left="720"/>
      </w:pPr>
      <w:r>
        <w:t xml:space="preserve">Responsive actions for an employee who has engaged in harassment, discrimination, and/or retaliation include: </w:t>
      </w:r>
    </w:p>
    <w:p w14:paraId="753C2BAE" w14:textId="77777777" w:rsidR="00447DC3" w:rsidRDefault="00447DC3" w:rsidP="00447DC3">
      <w:pPr>
        <w:ind w:left="720"/>
        <w:rPr>
          <w:i/>
          <w:iCs/>
        </w:rPr>
      </w:pPr>
    </w:p>
    <w:p w14:paraId="206497F7" w14:textId="77777777" w:rsidR="00447DC3" w:rsidRPr="002226AA" w:rsidRDefault="00447DC3" w:rsidP="005521DD">
      <w:pPr>
        <w:pStyle w:val="ListParagraph"/>
        <w:numPr>
          <w:ilvl w:val="0"/>
          <w:numId w:val="26"/>
        </w:numPr>
        <w:rPr>
          <w:i/>
          <w:iCs/>
        </w:rPr>
      </w:pPr>
      <w:r w:rsidRPr="002226AA">
        <w:rPr>
          <w:i/>
          <w:iCs/>
        </w:rPr>
        <w:t>Verbal or Written Warning</w:t>
      </w:r>
    </w:p>
    <w:p w14:paraId="4E26ABD5" w14:textId="77777777" w:rsidR="00447DC3" w:rsidRPr="002226AA" w:rsidRDefault="00447DC3" w:rsidP="005521DD">
      <w:pPr>
        <w:pStyle w:val="ListParagraph"/>
        <w:numPr>
          <w:ilvl w:val="0"/>
          <w:numId w:val="26"/>
        </w:numPr>
        <w:rPr>
          <w:i/>
          <w:iCs/>
        </w:rPr>
      </w:pPr>
      <w:r w:rsidRPr="002226AA">
        <w:rPr>
          <w:i/>
          <w:iCs/>
        </w:rPr>
        <w:t>Performance Improvement Plan/Management Process</w:t>
      </w:r>
    </w:p>
    <w:p w14:paraId="3C9AE0B2" w14:textId="77777777" w:rsidR="00447DC3" w:rsidRPr="002226AA" w:rsidRDefault="00447DC3" w:rsidP="005521DD">
      <w:pPr>
        <w:pStyle w:val="ListParagraph"/>
        <w:numPr>
          <w:ilvl w:val="0"/>
          <w:numId w:val="26"/>
        </w:numPr>
        <w:rPr>
          <w:i/>
          <w:iCs/>
        </w:rPr>
      </w:pPr>
      <w:r w:rsidRPr="002226AA">
        <w:rPr>
          <w:i/>
          <w:iCs/>
        </w:rPr>
        <w:t>Enhanced Supervision, Observation, or Review</w:t>
      </w:r>
    </w:p>
    <w:p w14:paraId="1CAAF019" w14:textId="77777777" w:rsidR="00447DC3" w:rsidRPr="002226AA" w:rsidRDefault="00447DC3" w:rsidP="005521DD">
      <w:pPr>
        <w:pStyle w:val="ListParagraph"/>
        <w:numPr>
          <w:ilvl w:val="0"/>
          <w:numId w:val="26"/>
        </w:numPr>
        <w:rPr>
          <w:i/>
          <w:iCs/>
        </w:rPr>
      </w:pPr>
      <w:r w:rsidRPr="002226AA">
        <w:rPr>
          <w:i/>
          <w:iCs/>
        </w:rPr>
        <w:t xml:space="preserve">Required Counseling </w:t>
      </w:r>
    </w:p>
    <w:p w14:paraId="64C9A3FB" w14:textId="77777777" w:rsidR="00447DC3" w:rsidRPr="002226AA" w:rsidRDefault="00447DC3" w:rsidP="005521DD">
      <w:pPr>
        <w:pStyle w:val="ListParagraph"/>
        <w:numPr>
          <w:ilvl w:val="0"/>
          <w:numId w:val="26"/>
        </w:numPr>
        <w:rPr>
          <w:i/>
          <w:iCs/>
        </w:rPr>
      </w:pPr>
      <w:r w:rsidRPr="002226AA">
        <w:rPr>
          <w:i/>
          <w:iCs/>
        </w:rPr>
        <w:t>Required Training or Education</w:t>
      </w:r>
    </w:p>
    <w:p w14:paraId="26A4B72A" w14:textId="77777777" w:rsidR="00447DC3" w:rsidRPr="002226AA" w:rsidRDefault="00447DC3" w:rsidP="005521DD">
      <w:pPr>
        <w:pStyle w:val="ListParagraph"/>
        <w:numPr>
          <w:ilvl w:val="0"/>
          <w:numId w:val="26"/>
        </w:numPr>
        <w:rPr>
          <w:i/>
          <w:iCs/>
        </w:rPr>
      </w:pPr>
      <w:r w:rsidRPr="002226AA">
        <w:rPr>
          <w:i/>
          <w:iCs/>
        </w:rPr>
        <w:t>Probation</w:t>
      </w:r>
    </w:p>
    <w:p w14:paraId="18139E14" w14:textId="77777777" w:rsidR="00447DC3" w:rsidRPr="002226AA" w:rsidRDefault="00447DC3" w:rsidP="005521DD">
      <w:pPr>
        <w:pStyle w:val="ListParagraph"/>
        <w:numPr>
          <w:ilvl w:val="0"/>
          <w:numId w:val="26"/>
        </w:numPr>
        <w:rPr>
          <w:i/>
          <w:iCs/>
        </w:rPr>
      </w:pPr>
      <w:r w:rsidRPr="002226AA">
        <w:rPr>
          <w:i/>
          <w:iCs/>
        </w:rPr>
        <w:t>Denial of Pay Increase/Pay Grade</w:t>
      </w:r>
    </w:p>
    <w:p w14:paraId="43A4143F" w14:textId="77777777" w:rsidR="00447DC3" w:rsidRPr="002226AA" w:rsidRDefault="00447DC3" w:rsidP="005521DD">
      <w:pPr>
        <w:pStyle w:val="ListParagraph"/>
        <w:numPr>
          <w:ilvl w:val="0"/>
          <w:numId w:val="26"/>
        </w:numPr>
        <w:rPr>
          <w:i/>
          <w:iCs/>
        </w:rPr>
      </w:pPr>
      <w:r w:rsidRPr="002226AA">
        <w:rPr>
          <w:i/>
          <w:iCs/>
        </w:rPr>
        <w:t>Loss of Oversight or Supervisory Responsibility</w:t>
      </w:r>
    </w:p>
    <w:p w14:paraId="08A98A75" w14:textId="77777777" w:rsidR="00447DC3" w:rsidRPr="002226AA" w:rsidRDefault="00447DC3" w:rsidP="005521DD">
      <w:pPr>
        <w:pStyle w:val="ListParagraph"/>
        <w:numPr>
          <w:ilvl w:val="0"/>
          <w:numId w:val="26"/>
        </w:numPr>
        <w:rPr>
          <w:i/>
          <w:iCs/>
        </w:rPr>
      </w:pPr>
      <w:r w:rsidRPr="002226AA">
        <w:rPr>
          <w:i/>
          <w:iCs/>
        </w:rPr>
        <w:t>Demotion</w:t>
      </w:r>
    </w:p>
    <w:p w14:paraId="6B316E9D" w14:textId="77777777" w:rsidR="00447DC3" w:rsidRPr="002226AA" w:rsidRDefault="00447DC3" w:rsidP="005521DD">
      <w:pPr>
        <w:pStyle w:val="ListParagraph"/>
        <w:numPr>
          <w:ilvl w:val="0"/>
          <w:numId w:val="26"/>
        </w:numPr>
        <w:rPr>
          <w:i/>
          <w:iCs/>
        </w:rPr>
      </w:pPr>
      <w:r w:rsidRPr="002226AA">
        <w:rPr>
          <w:i/>
          <w:iCs/>
        </w:rPr>
        <w:t>Transfer</w:t>
      </w:r>
    </w:p>
    <w:p w14:paraId="18D3DD11" w14:textId="77777777" w:rsidR="00515E36" w:rsidRDefault="00515E36" w:rsidP="005521DD">
      <w:pPr>
        <w:pStyle w:val="ListParagraph"/>
        <w:numPr>
          <w:ilvl w:val="0"/>
          <w:numId w:val="26"/>
        </w:numPr>
        <w:rPr>
          <w:i/>
          <w:iCs/>
        </w:rPr>
      </w:pPr>
      <w:r>
        <w:rPr>
          <w:i/>
          <w:iCs/>
        </w:rPr>
        <w:t>Shift or schedule adjustments</w:t>
      </w:r>
    </w:p>
    <w:p w14:paraId="626D5B25" w14:textId="4EB1DF64" w:rsidR="00447DC3" w:rsidRPr="002226AA" w:rsidRDefault="00447DC3" w:rsidP="005521DD">
      <w:pPr>
        <w:pStyle w:val="ListParagraph"/>
        <w:numPr>
          <w:ilvl w:val="0"/>
          <w:numId w:val="26"/>
        </w:numPr>
        <w:rPr>
          <w:i/>
          <w:iCs/>
        </w:rPr>
      </w:pPr>
      <w:r w:rsidRPr="002226AA">
        <w:rPr>
          <w:i/>
          <w:iCs/>
        </w:rPr>
        <w:t>Reassignment</w:t>
      </w:r>
    </w:p>
    <w:p w14:paraId="184E79AE" w14:textId="77777777" w:rsidR="00447DC3" w:rsidRPr="002226AA" w:rsidRDefault="00447DC3" w:rsidP="005521DD">
      <w:pPr>
        <w:pStyle w:val="ListParagraph"/>
        <w:numPr>
          <w:ilvl w:val="0"/>
          <w:numId w:val="26"/>
        </w:numPr>
        <w:rPr>
          <w:i/>
          <w:iCs/>
        </w:rPr>
      </w:pPr>
      <w:r w:rsidRPr="002226AA">
        <w:rPr>
          <w:i/>
          <w:iCs/>
        </w:rPr>
        <w:t>Delay of (or referral for delay of) Tenure Track Progress</w:t>
      </w:r>
    </w:p>
    <w:p w14:paraId="159EB685" w14:textId="77777777" w:rsidR="00447DC3" w:rsidRPr="002226AA" w:rsidRDefault="00447DC3" w:rsidP="005521DD">
      <w:pPr>
        <w:pStyle w:val="ListParagraph"/>
        <w:numPr>
          <w:ilvl w:val="0"/>
          <w:numId w:val="26"/>
        </w:numPr>
        <w:rPr>
          <w:i/>
          <w:iCs/>
        </w:rPr>
      </w:pPr>
      <w:r w:rsidRPr="002226AA">
        <w:rPr>
          <w:i/>
          <w:iCs/>
        </w:rPr>
        <w:t xml:space="preserve">Assignment </w:t>
      </w:r>
      <w:proofErr w:type="gramStart"/>
      <w:r w:rsidRPr="002226AA">
        <w:rPr>
          <w:i/>
          <w:iCs/>
        </w:rPr>
        <w:t>to</w:t>
      </w:r>
      <w:proofErr w:type="gramEnd"/>
      <w:r w:rsidRPr="002226AA">
        <w:rPr>
          <w:i/>
          <w:iCs/>
        </w:rPr>
        <w:t xml:space="preserve"> New Supervisor</w:t>
      </w:r>
    </w:p>
    <w:p w14:paraId="04CCC989" w14:textId="77777777" w:rsidR="00447DC3" w:rsidRPr="002226AA" w:rsidRDefault="00447DC3" w:rsidP="005521DD">
      <w:pPr>
        <w:pStyle w:val="ListParagraph"/>
        <w:numPr>
          <w:ilvl w:val="0"/>
          <w:numId w:val="26"/>
        </w:numPr>
        <w:rPr>
          <w:i/>
          <w:iCs/>
        </w:rPr>
      </w:pPr>
      <w:r w:rsidRPr="002226AA">
        <w:rPr>
          <w:i/>
          <w:iCs/>
        </w:rPr>
        <w:t>Restriction of Stipends, Research, and/or Professional Development Resources</w:t>
      </w:r>
    </w:p>
    <w:p w14:paraId="3F5C4F9B" w14:textId="77777777" w:rsidR="00447DC3" w:rsidRPr="002226AA" w:rsidRDefault="00447DC3" w:rsidP="005521DD">
      <w:pPr>
        <w:pStyle w:val="ListParagraph"/>
        <w:numPr>
          <w:ilvl w:val="0"/>
          <w:numId w:val="26"/>
        </w:numPr>
        <w:rPr>
          <w:i/>
          <w:iCs/>
        </w:rPr>
      </w:pPr>
      <w:r w:rsidRPr="002226AA">
        <w:rPr>
          <w:i/>
          <w:iCs/>
        </w:rPr>
        <w:t>Suspension/Administrative Leave with Pay</w:t>
      </w:r>
    </w:p>
    <w:p w14:paraId="5366C80C" w14:textId="0303B3BD" w:rsidR="00447DC3" w:rsidRPr="00ED3CAB" w:rsidRDefault="00447DC3" w:rsidP="005521DD">
      <w:pPr>
        <w:pStyle w:val="ListParagraph"/>
        <w:numPr>
          <w:ilvl w:val="0"/>
          <w:numId w:val="26"/>
        </w:numPr>
        <w:rPr>
          <w:i/>
          <w:iCs/>
        </w:rPr>
      </w:pPr>
      <w:r w:rsidRPr="00ED3CAB">
        <w:rPr>
          <w:i/>
          <w:iCs/>
        </w:rPr>
        <w:t xml:space="preserve">Suspension/Administrative Leave without Pay </w:t>
      </w:r>
    </w:p>
    <w:p w14:paraId="29154CED" w14:textId="77777777" w:rsidR="00447DC3" w:rsidRPr="002226AA" w:rsidRDefault="00447DC3" w:rsidP="005521DD">
      <w:pPr>
        <w:pStyle w:val="ListParagraph"/>
        <w:numPr>
          <w:ilvl w:val="0"/>
          <w:numId w:val="26"/>
        </w:numPr>
        <w:rPr>
          <w:i/>
          <w:iCs/>
        </w:rPr>
      </w:pPr>
      <w:r w:rsidRPr="002226AA">
        <w:rPr>
          <w:i/>
          <w:iCs/>
        </w:rPr>
        <w:t xml:space="preserve">Termination </w:t>
      </w:r>
    </w:p>
    <w:p w14:paraId="3134EE66" w14:textId="77777777" w:rsidR="00447DC3" w:rsidRDefault="00447DC3" w:rsidP="005521DD">
      <w:pPr>
        <w:pStyle w:val="ListParagraph"/>
        <w:numPr>
          <w:ilvl w:val="0"/>
          <w:numId w:val="26"/>
        </w:numPr>
      </w:pPr>
      <w:r w:rsidRPr="002226AA">
        <w:rPr>
          <w:i/>
          <w:iCs/>
        </w:rPr>
        <w:t>Other Actions</w:t>
      </w:r>
      <w:r>
        <w:t xml:space="preserve">: In addition to or in place of the above sanctions/responsive actions, the </w:t>
      </w:r>
      <w:r w:rsidRPr="004C4704">
        <w:rPr>
          <w:highlight w:val="lightGray"/>
        </w:rPr>
        <w:t>Recipient</w:t>
      </w:r>
      <w:r>
        <w:t xml:space="preserve"> may assign any other responsive actions as deemed appropriate.</w:t>
      </w:r>
    </w:p>
    <w:p w14:paraId="6439DEE1" w14:textId="77777777" w:rsidR="00515E36" w:rsidRDefault="00515E36" w:rsidP="00F539C8">
      <w:pPr>
        <w:pStyle w:val="ListParagraph"/>
        <w:ind w:left="1440"/>
      </w:pPr>
    </w:p>
    <w:p w14:paraId="65688F6A" w14:textId="6D6B5D57" w:rsidR="001417E2" w:rsidRDefault="00F62BC5" w:rsidP="00515E36">
      <w:pPr>
        <w:pStyle w:val="Heading1"/>
      </w:pPr>
      <w:bookmarkStart w:id="138" w:name="_Toc168477564"/>
      <w:r>
        <w:t xml:space="preserve">Notice of </w:t>
      </w:r>
      <w:r w:rsidR="001417E2">
        <w:t>Outcome</w:t>
      </w:r>
      <w:bookmarkEnd w:id="138"/>
      <w:r w:rsidR="001417E2">
        <w:t xml:space="preserve"> </w:t>
      </w:r>
    </w:p>
    <w:p w14:paraId="5D9C58B5" w14:textId="77777777" w:rsidR="001417E2" w:rsidRDefault="001417E2" w:rsidP="001417E2"/>
    <w:p w14:paraId="485B341E" w14:textId="0C6E470B" w:rsidR="00515E36" w:rsidRDefault="00C81B3D" w:rsidP="00515E36">
      <w:r>
        <w:t xml:space="preserve">Within </w:t>
      </w:r>
      <w:r w:rsidRPr="00A45301">
        <w:rPr>
          <w:highlight w:val="lightGray"/>
        </w:rPr>
        <w:t>ten (10) business days of</w:t>
      </w:r>
      <w:r w:rsidR="00F8152E">
        <w:t xml:space="preserve"> the conclusion of the Resolution Process</w:t>
      </w:r>
      <w:r w:rsidR="00C519BC">
        <w:t xml:space="preserve">, </w:t>
      </w:r>
      <w:r w:rsidR="0092797E">
        <w:t>t</w:t>
      </w:r>
      <w:r w:rsidR="00F8152E">
        <w:t xml:space="preserve">he </w:t>
      </w:r>
      <w:r w:rsidR="00F8152E" w:rsidRPr="00E32317">
        <w:rPr>
          <w:highlight w:val="lightGray"/>
        </w:rPr>
        <w:t>Administrator</w:t>
      </w:r>
      <w:r w:rsidR="00F8152E">
        <w:t xml:space="preserve"> </w:t>
      </w:r>
      <w:r w:rsidR="0092797E">
        <w:t xml:space="preserve">provides the </w:t>
      </w:r>
      <w:r w:rsidR="00C519BC">
        <w:t>P</w:t>
      </w:r>
      <w:r w:rsidR="0092797E">
        <w:t xml:space="preserve">arties with a written </w:t>
      </w:r>
      <w:r w:rsidR="00AA15E3">
        <w:t>outcome notification</w:t>
      </w:r>
      <w:r w:rsidR="00515E36">
        <w:t>.</w:t>
      </w:r>
      <w:r w:rsidR="00F8152E">
        <w:t xml:space="preserve"> </w:t>
      </w:r>
      <w:r w:rsidR="00515E36">
        <w:t xml:space="preserve">The </w:t>
      </w:r>
      <w:r w:rsidR="00AA15E3">
        <w:t>outcome notification</w:t>
      </w:r>
      <w:r w:rsidR="00515E36">
        <w:t xml:space="preserve"> will specify the finding for each alleged </w:t>
      </w:r>
      <w:r w:rsidR="00D715ED">
        <w:t>P</w:t>
      </w:r>
      <w:r w:rsidR="00515E36">
        <w:t xml:space="preserve">olicy violation, any applicable sanctions </w:t>
      </w:r>
      <w:r w:rsidR="002B0F71">
        <w:t>t</w:t>
      </w:r>
      <w:r w:rsidR="008D1FD0">
        <w:t>hat</w:t>
      </w:r>
      <w:r w:rsidR="002B0F71">
        <w:t xml:space="preserve"> </w:t>
      </w:r>
      <w:r w:rsidR="00515E36">
        <w:t xml:space="preserve">the </w:t>
      </w:r>
      <w:r w:rsidR="00515E36" w:rsidRPr="009B1DC2">
        <w:rPr>
          <w:highlight w:val="lightGray"/>
        </w:rPr>
        <w:t>Recipient</w:t>
      </w:r>
      <w:r w:rsidR="00515E36">
        <w:t xml:space="preserve"> is permitted to share pursuant to state or federal law, and a detailed rationale</w:t>
      </w:r>
      <w:r>
        <w:t>, written by the Decision-maker,</w:t>
      </w:r>
      <w:r w:rsidR="00515E36">
        <w:t xml:space="preserve"> supporting the findings to the extent the </w:t>
      </w:r>
      <w:r w:rsidR="00515E36" w:rsidRPr="009B1DC2">
        <w:rPr>
          <w:highlight w:val="lightGray"/>
        </w:rPr>
        <w:t>Recipient</w:t>
      </w:r>
      <w:r w:rsidR="00515E36">
        <w:t xml:space="preserve"> is permitted to share under federal or state law. </w:t>
      </w:r>
    </w:p>
    <w:p w14:paraId="6DEB44AD" w14:textId="77777777" w:rsidR="00515E36" w:rsidRDefault="00515E36" w:rsidP="00515E36"/>
    <w:p w14:paraId="75B6A29F" w14:textId="6A1B641C" w:rsidR="00515E36" w:rsidRDefault="00515E36" w:rsidP="00515E36">
      <w:r>
        <w:t>The noti</w:t>
      </w:r>
      <w:r w:rsidR="00F240C0">
        <w:t>fication</w:t>
      </w:r>
      <w:r>
        <w:t xml:space="preserve"> will also detail the </w:t>
      </w:r>
      <w:r w:rsidR="00C519BC">
        <w:t>P</w:t>
      </w:r>
      <w:r>
        <w:t>arties’ equal rights to</w:t>
      </w:r>
      <w:r w:rsidR="00C519BC">
        <w:t xml:space="preserve"> appeal</w:t>
      </w:r>
      <w:r>
        <w:t>, the grounds for</w:t>
      </w:r>
      <w:r w:rsidR="00C519BC">
        <w:t xml:space="preserve"> appeal</w:t>
      </w:r>
      <w:r>
        <w:t xml:space="preserve">, </w:t>
      </w:r>
      <w:r w:rsidR="00C81B3D">
        <w:t xml:space="preserve">the </w:t>
      </w:r>
      <w:r>
        <w:t xml:space="preserve">steps to take to request an appeal, and when the determination is considered </w:t>
      </w:r>
      <w:r w:rsidRPr="00487C36">
        <w:t xml:space="preserve">final </w:t>
      </w:r>
      <w:r>
        <w:t xml:space="preserve">if neither party appeals. </w:t>
      </w:r>
    </w:p>
    <w:p w14:paraId="0C1D37CB" w14:textId="77777777" w:rsidR="00515E36" w:rsidRDefault="00515E36" w:rsidP="00F8152E"/>
    <w:p w14:paraId="210BE37E" w14:textId="76BD8338" w:rsidR="00F8152E" w:rsidRDefault="00515E36" w:rsidP="00F8152E">
      <w:r>
        <w:t xml:space="preserve">The </w:t>
      </w:r>
      <w:r w:rsidRPr="00ED3CAB">
        <w:rPr>
          <w:highlight w:val="lightGray"/>
        </w:rPr>
        <w:t>Administrator</w:t>
      </w:r>
      <w:r>
        <w:t xml:space="preserve"> will provide the </w:t>
      </w:r>
      <w:r w:rsidR="0028631C">
        <w:t>Parties</w:t>
      </w:r>
      <w:r>
        <w:t xml:space="preserve"> with the </w:t>
      </w:r>
      <w:r w:rsidR="00AA15E3">
        <w:t>outcome notification</w:t>
      </w:r>
      <w:r>
        <w:t xml:space="preserve"> </w:t>
      </w:r>
      <w:r w:rsidR="00F8152E">
        <w:t>simultaneously,</w:t>
      </w:r>
      <w:r>
        <w:t xml:space="preserve"> or </w:t>
      </w:r>
      <w:r w:rsidR="00F8152E">
        <w:t xml:space="preserve">without significant time delay between notifications. </w:t>
      </w:r>
      <w:r w:rsidR="0092797E">
        <w:t xml:space="preserve">The written </w:t>
      </w:r>
      <w:r w:rsidR="00AA15E3">
        <w:t>outcome notification</w:t>
      </w:r>
      <w:r w:rsidR="00F8152E">
        <w:t xml:space="preserve"> may be delivered by one or more of the following methods</w:t>
      </w:r>
      <w:r w:rsidR="00F8152E" w:rsidRPr="00C519BC">
        <w:t xml:space="preserve">: </w:t>
      </w:r>
      <w:r w:rsidR="00F8152E" w:rsidRPr="00ED3CAB">
        <w:t xml:space="preserve">in person, mailed to the local or permanent address of the </w:t>
      </w:r>
      <w:r w:rsidR="0028631C">
        <w:t>Parties</w:t>
      </w:r>
      <w:r w:rsidR="00F8152E" w:rsidRPr="00ED3CAB">
        <w:t xml:space="preserve"> as indicated in official </w:t>
      </w:r>
      <w:r w:rsidR="00F8152E" w:rsidRPr="00AF4053">
        <w:rPr>
          <w:highlight w:val="lightGray"/>
        </w:rPr>
        <w:t>Recipient</w:t>
      </w:r>
      <w:r w:rsidR="00F8152E" w:rsidRPr="00ED3CAB">
        <w:t xml:space="preserve"> records, or emailed to the </w:t>
      </w:r>
      <w:r w:rsidR="0028631C">
        <w:t>Parties</w:t>
      </w:r>
      <w:r w:rsidR="00F8152E" w:rsidRPr="00ED3CAB">
        <w:t xml:space="preserve">’ </w:t>
      </w:r>
      <w:r w:rsidR="00F8152E" w:rsidRPr="00AF4053">
        <w:rPr>
          <w:highlight w:val="lightGray"/>
        </w:rPr>
        <w:t>Recipient</w:t>
      </w:r>
      <w:r w:rsidR="00F8152E" w:rsidRPr="00ED3CAB">
        <w:t>-issued or designated email account.</w:t>
      </w:r>
      <w:r w:rsidR="00F8152E" w:rsidRPr="00C519BC">
        <w:t xml:space="preserve"> Once</w:t>
      </w:r>
      <w:r w:rsidR="00F8152E">
        <w:t xml:space="preserve"> mailed, emailed, and/or received in</w:t>
      </w:r>
      <w:r w:rsidR="002A7F7B">
        <w:t xml:space="preserve"> </w:t>
      </w:r>
      <w:r w:rsidR="00F8152E">
        <w:t xml:space="preserve">person, </w:t>
      </w:r>
      <w:r w:rsidR="00F240C0">
        <w:t xml:space="preserve">the </w:t>
      </w:r>
      <w:r w:rsidR="00AA15E3">
        <w:t>outcome notification</w:t>
      </w:r>
      <w:r w:rsidR="00F8152E">
        <w:t xml:space="preserve"> is presumptively delivered. </w:t>
      </w:r>
    </w:p>
    <w:p w14:paraId="1BFC1BA9" w14:textId="77777777" w:rsidR="00515E36" w:rsidRDefault="00515E36" w:rsidP="00F8152E"/>
    <w:p w14:paraId="13568408" w14:textId="77777777" w:rsidR="00CE76A4" w:rsidRDefault="00CE76A4" w:rsidP="00CE76A4">
      <w:pPr>
        <w:pStyle w:val="Heading1"/>
      </w:pPr>
      <w:bookmarkStart w:id="139" w:name="_Toc168477565"/>
      <w:r w:rsidRPr="00646EF6">
        <w:t>Withdrawal or Resignation Before Complaint Resolution</w:t>
      </w:r>
      <w:bookmarkEnd w:id="139"/>
    </w:p>
    <w:p w14:paraId="7913EA1D" w14:textId="77777777" w:rsidR="00CE76A4" w:rsidRPr="00311801" w:rsidRDefault="00CE76A4" w:rsidP="00CE76A4"/>
    <w:p w14:paraId="0C09581E" w14:textId="77777777" w:rsidR="00CE76A4" w:rsidRDefault="00CE76A4" w:rsidP="00CE76A4">
      <w:pPr>
        <w:pStyle w:val="Heading2"/>
      </w:pPr>
      <w:bookmarkStart w:id="140" w:name="_Toc168477566"/>
      <w:r>
        <w:t>Students</w:t>
      </w:r>
      <w:bookmarkEnd w:id="140"/>
    </w:p>
    <w:p w14:paraId="5D863ADB" w14:textId="77777777" w:rsidR="00CE76A4" w:rsidRDefault="00CE76A4" w:rsidP="00CE76A4"/>
    <w:p w14:paraId="018CDA19" w14:textId="4419164F" w:rsidR="00CE76A4" w:rsidRPr="00762765" w:rsidRDefault="00CE76A4" w:rsidP="00CE76A4">
      <w:pPr>
        <w:ind w:left="720"/>
      </w:pPr>
      <w:r>
        <w:t xml:space="preserve">Should a student Respondent decide not to participate in the Resolution Process, the process proceeds absent their participation to a reasonable resolution. If a student Respondent withdraws from the </w:t>
      </w:r>
      <w:r w:rsidRPr="00311801">
        <w:rPr>
          <w:highlight w:val="lightGray"/>
        </w:rPr>
        <w:t>Recipient</w:t>
      </w:r>
      <w:r>
        <w:t>, the Resolution Process may continue</w:t>
      </w:r>
      <w:r w:rsidR="00E8172E">
        <w:t>,</w:t>
      </w:r>
      <w:r>
        <w:t xml:space="preserve"> or </w:t>
      </w:r>
      <w:proofErr w:type="gramStart"/>
      <w:r w:rsidRPr="00ED3CAB">
        <w:rPr>
          <w:highlight w:val="lightGray"/>
        </w:rPr>
        <w:t>Administrator</w:t>
      </w:r>
      <w:proofErr w:type="gramEnd"/>
      <w:r>
        <w:t xml:space="preserve"> may exercise their discretion to dismiss the </w:t>
      </w:r>
      <w:r w:rsidR="00F240C0">
        <w:t>Complaint</w:t>
      </w:r>
      <w:r>
        <w:t xml:space="preserve">. If the </w:t>
      </w:r>
      <w:r w:rsidR="00F240C0">
        <w:t>Complaint</w:t>
      </w:r>
      <w:r>
        <w:t xml:space="preserve"> is dismissed, </w:t>
      </w:r>
      <w:proofErr w:type="gramStart"/>
      <w:r w:rsidR="001D6819" w:rsidRPr="00311801">
        <w:rPr>
          <w:highlight w:val="lightGray"/>
        </w:rPr>
        <w:t>Recipient</w:t>
      </w:r>
      <w:proofErr w:type="gramEnd"/>
      <w:r w:rsidR="001D6819" w:rsidDel="001D6819">
        <w:t xml:space="preserve"> </w:t>
      </w:r>
      <w:r>
        <w:t>will still provide reasonable supportive or remedial measures as deemed necessary to</w:t>
      </w:r>
      <w:r w:rsidRPr="00762765">
        <w:t xml:space="preserve"> address safety and/or remedy any ongoing effects of the alleged harassment, discrimination, and/or retaliation.</w:t>
      </w:r>
    </w:p>
    <w:p w14:paraId="1397B233" w14:textId="77777777" w:rsidR="00CE76A4" w:rsidRDefault="00CE76A4" w:rsidP="00CE76A4">
      <w:pPr>
        <w:ind w:left="720"/>
      </w:pPr>
    </w:p>
    <w:p w14:paraId="28B84BCA" w14:textId="597B4CB5" w:rsidR="00CE76A4" w:rsidRDefault="00CE76A4" w:rsidP="00CE76A4">
      <w:pPr>
        <w:ind w:left="720"/>
        <w:rPr>
          <w:highlight w:val="lightGray"/>
        </w:rPr>
      </w:pPr>
      <w:r>
        <w:t xml:space="preserve">Regardless of whether the </w:t>
      </w:r>
      <w:r w:rsidR="00F240C0">
        <w:t>Complaint</w:t>
      </w:r>
      <w:r>
        <w:t xml:space="preserve"> is dismissed or pursued to completion of the Resolution Process, </w:t>
      </w:r>
      <w:r w:rsidRPr="00311801">
        <w:rPr>
          <w:highlight w:val="lightGray"/>
        </w:rPr>
        <w:t>Recipient</w:t>
      </w:r>
      <w:r>
        <w:t xml:space="preserve"> will continue to address and remedy any systemic issues or concerns that may have contributed to the alleged violation(s), and any ongoing effects of the alleged discrimination, </w:t>
      </w:r>
      <w:r w:rsidR="00090DC8">
        <w:t xml:space="preserve">harassment, </w:t>
      </w:r>
      <w:r>
        <w:t xml:space="preserve">and/or retaliation. </w:t>
      </w:r>
    </w:p>
    <w:p w14:paraId="2D05D794" w14:textId="77777777" w:rsidR="00CE76A4" w:rsidRDefault="00CE76A4" w:rsidP="00CE76A4">
      <w:pPr>
        <w:ind w:left="720"/>
        <w:rPr>
          <w:highlight w:val="lightGray"/>
        </w:rPr>
      </w:pPr>
    </w:p>
    <w:p w14:paraId="1C5A27CD" w14:textId="656A6CEB" w:rsidR="009A08D4" w:rsidRDefault="009A08D4" w:rsidP="009A08D4">
      <w:pPr>
        <w:ind w:left="720"/>
      </w:pPr>
      <w:r>
        <w:t xml:space="preserve">When a student withdraws or leaves while the process is pending, the student may not return to the </w:t>
      </w:r>
      <w:r w:rsidRPr="009A08D4">
        <w:rPr>
          <w:highlight w:val="lightGray"/>
        </w:rPr>
        <w:t>Recipient</w:t>
      </w:r>
      <w:r>
        <w:t xml:space="preserve"> in any capacity until the Complaint is resolved and any sanctions imposed are satisfied. If the student indicates they will not return, the </w:t>
      </w:r>
      <w:r w:rsidRPr="009A08D4">
        <w:rPr>
          <w:highlight w:val="lightGray"/>
        </w:rPr>
        <w:t>Administrator</w:t>
      </w:r>
      <w:r>
        <w:t xml:space="preserve"> has discretion to dismiss the Complaint. The Registrar and Office of Admissions will be </w:t>
      </w:r>
      <w:proofErr w:type="gramStart"/>
      <w:r>
        <w:t>notified,</w:t>
      </w:r>
      <w:proofErr w:type="gramEnd"/>
      <w:r>
        <w:t xml:space="preserve"> accordingly.</w:t>
      </w:r>
    </w:p>
    <w:p w14:paraId="2422A7C1" w14:textId="77777777" w:rsidR="00CE76A4" w:rsidRDefault="00CE76A4" w:rsidP="009A08D4"/>
    <w:p w14:paraId="608A6B7B" w14:textId="1179A613" w:rsidR="00CE76A4" w:rsidRPr="00B6070F" w:rsidRDefault="00CE76A4" w:rsidP="00CE76A4">
      <w:pPr>
        <w:ind w:left="720"/>
      </w:pPr>
      <w:r w:rsidRPr="00B6070F">
        <w:t xml:space="preserve">If the student Respondent takes </w:t>
      </w:r>
      <w:proofErr w:type="gramStart"/>
      <w:r w:rsidRPr="00B6070F">
        <w:t>a leave</w:t>
      </w:r>
      <w:proofErr w:type="gramEnd"/>
      <w:r w:rsidRPr="00B6070F">
        <w:t xml:space="preserve"> for a specified </w:t>
      </w:r>
      <w:proofErr w:type="gramStart"/>
      <w:r w:rsidRPr="00B6070F">
        <w:t>period of time</w:t>
      </w:r>
      <w:proofErr w:type="gramEnd"/>
      <w:r w:rsidRPr="00B6070F">
        <w:t xml:space="preserve"> (e.g., one semester or term), the Resolution Process may continue remotely</w:t>
      </w:r>
      <w:r w:rsidR="00A172BC">
        <w:t>. I</w:t>
      </w:r>
      <w:r w:rsidRPr="00B6070F">
        <w:t xml:space="preserve">f found in violation, that student is not permitted to return to </w:t>
      </w:r>
      <w:r w:rsidRPr="00B6070F">
        <w:rPr>
          <w:highlight w:val="lightGray"/>
        </w:rPr>
        <w:t>Recipient</w:t>
      </w:r>
      <w:r w:rsidRPr="00B6070F">
        <w:t xml:space="preserve"> unless and until all sanctions, if any, have been satisfied.</w:t>
      </w:r>
    </w:p>
    <w:p w14:paraId="394A3BC1" w14:textId="77777777" w:rsidR="00CE76A4" w:rsidRPr="004C4704" w:rsidRDefault="00CE76A4" w:rsidP="00CE76A4">
      <w:pPr>
        <w:ind w:left="720"/>
      </w:pPr>
    </w:p>
    <w:p w14:paraId="6FE32E6E" w14:textId="77777777" w:rsidR="00CE76A4" w:rsidRDefault="00CE76A4" w:rsidP="00CE76A4">
      <w:pPr>
        <w:pStyle w:val="Heading2"/>
      </w:pPr>
      <w:bookmarkStart w:id="141" w:name="_Toc168477567"/>
      <w:r>
        <w:t>Employees</w:t>
      </w:r>
      <w:bookmarkEnd w:id="141"/>
    </w:p>
    <w:p w14:paraId="79793190" w14:textId="77777777" w:rsidR="00CE76A4" w:rsidRDefault="00CE76A4" w:rsidP="00CE76A4"/>
    <w:p w14:paraId="396F480A" w14:textId="5796E934" w:rsidR="00CE76A4" w:rsidRPr="00762765" w:rsidRDefault="00CE76A4" w:rsidP="00CE76A4">
      <w:pPr>
        <w:ind w:left="720"/>
      </w:pPr>
      <w:r>
        <w:t>Should a</w:t>
      </w:r>
      <w:r w:rsidR="004A5471">
        <w:t>n</w:t>
      </w:r>
      <w:r>
        <w:t xml:space="preserve"> </w:t>
      </w:r>
      <w:r w:rsidR="004A5471">
        <w:t xml:space="preserve">employee </w:t>
      </w:r>
      <w:r>
        <w:t>Respondent decide not to participate in the Resolution Process, the process proceeds absent their participation to a reasonable resolution. If a</w:t>
      </w:r>
      <w:r w:rsidR="00BD18A8">
        <w:t>n employee</w:t>
      </w:r>
      <w:r>
        <w:t xml:space="preserve"> </w:t>
      </w:r>
      <w:r>
        <w:lastRenderedPageBreak/>
        <w:t xml:space="preserve">Respondent withdraws from the </w:t>
      </w:r>
      <w:r w:rsidRPr="00311801">
        <w:rPr>
          <w:highlight w:val="lightGray"/>
        </w:rPr>
        <w:t>Recipient</w:t>
      </w:r>
      <w:r>
        <w:t xml:space="preserve"> with unresolved allegations pending, </w:t>
      </w:r>
      <w:r w:rsidR="00BD18A8">
        <w:t>the Resolution Process may continue</w:t>
      </w:r>
      <w:r w:rsidR="007A1F7E">
        <w:t>,</w:t>
      </w:r>
      <w:r w:rsidR="00BD18A8">
        <w:t xml:space="preserve"> or </w:t>
      </w:r>
      <w:proofErr w:type="gramStart"/>
      <w:r w:rsidR="00BD18A8" w:rsidRPr="003D5616">
        <w:rPr>
          <w:highlight w:val="lightGray"/>
        </w:rPr>
        <w:t>Administrator</w:t>
      </w:r>
      <w:proofErr w:type="gramEnd"/>
      <w:r w:rsidR="00BD18A8">
        <w:t xml:space="preserve"> may exercise their discretion to dismiss the </w:t>
      </w:r>
      <w:r w:rsidR="00F240C0">
        <w:t>Complaint</w:t>
      </w:r>
      <w:r w:rsidR="00BD18A8">
        <w:t xml:space="preserve">. </w:t>
      </w:r>
      <w:r>
        <w:t xml:space="preserve">If the </w:t>
      </w:r>
      <w:r w:rsidR="00F240C0">
        <w:t>Complaint</w:t>
      </w:r>
      <w:r>
        <w:t xml:space="preserve"> is dismissed, the </w:t>
      </w:r>
      <w:r w:rsidR="007A1F7E" w:rsidRPr="00311801">
        <w:rPr>
          <w:highlight w:val="lightGray"/>
        </w:rPr>
        <w:t>Recipient</w:t>
      </w:r>
      <w:r w:rsidR="007A1F7E" w:rsidDel="007A1F7E">
        <w:t xml:space="preserve"> </w:t>
      </w:r>
      <w:r>
        <w:t>may still provide reasonable supportive or remedial measures as deemed necessary to</w:t>
      </w:r>
      <w:r w:rsidRPr="00762765">
        <w:t xml:space="preserve"> address safety and/or remedy any ongoing effects of the alleged </w:t>
      </w:r>
      <w:r w:rsidR="00705550">
        <w:t xml:space="preserve">discrimination, </w:t>
      </w:r>
      <w:r w:rsidRPr="00762765">
        <w:t>harassment, and/or retaliation.</w:t>
      </w:r>
    </w:p>
    <w:p w14:paraId="0940CE90" w14:textId="77777777" w:rsidR="00CE76A4" w:rsidRDefault="00CE76A4" w:rsidP="00ED3CAB"/>
    <w:p w14:paraId="445C1828" w14:textId="20493165" w:rsidR="00CE76A4" w:rsidRDefault="00BD18A8" w:rsidP="00F766D9">
      <w:pPr>
        <w:ind w:left="720"/>
      </w:pPr>
      <w:r w:rsidRPr="00ED3CAB">
        <w:t xml:space="preserve">When an </w:t>
      </w:r>
      <w:r w:rsidR="00CE76A4" w:rsidRPr="00ED3CAB">
        <w:t xml:space="preserve">employee resigns </w:t>
      </w:r>
      <w:r w:rsidRPr="00ED3CAB">
        <w:t xml:space="preserve">and the </w:t>
      </w:r>
      <w:r w:rsidR="00F240C0">
        <w:t>Complaint</w:t>
      </w:r>
      <w:r w:rsidRPr="00ED3CAB">
        <w:t xml:space="preserve"> is dismissed, the employee</w:t>
      </w:r>
      <w:r w:rsidR="00CE76A4" w:rsidRPr="00ED3CAB">
        <w:t xml:space="preserve"> may not return to the </w:t>
      </w:r>
      <w:r w:rsidR="00CE76A4" w:rsidRPr="00AF4053">
        <w:rPr>
          <w:highlight w:val="lightGray"/>
        </w:rPr>
        <w:t>Recipient</w:t>
      </w:r>
      <w:r w:rsidR="00CE76A4" w:rsidRPr="00ED3CAB">
        <w:t xml:space="preserve"> in any capacity. Human </w:t>
      </w:r>
      <w:r w:rsidR="00343EF8">
        <w:t>r</w:t>
      </w:r>
      <w:r w:rsidR="00CE76A4" w:rsidRPr="00ED3CAB">
        <w:t xml:space="preserve">esources, the </w:t>
      </w:r>
      <w:r w:rsidR="00343EF8">
        <w:t>r</w:t>
      </w:r>
      <w:r w:rsidR="00CE76A4" w:rsidRPr="00ED3CAB">
        <w:t xml:space="preserve">egistrar, and </w:t>
      </w:r>
      <w:r w:rsidR="00343EF8">
        <w:t>a</w:t>
      </w:r>
      <w:r w:rsidR="00CE76A4" w:rsidRPr="00ED3CAB">
        <w:t xml:space="preserve">dmissions will be notified, accordingly, and a note will be placed in the employee’s file that they resigned with allegations pending </w:t>
      </w:r>
      <w:r w:rsidRPr="00ED3CAB">
        <w:t xml:space="preserve">and </w:t>
      </w:r>
      <w:r w:rsidR="00CE76A4" w:rsidRPr="00ED3CAB">
        <w:t xml:space="preserve">are not eligible for </w:t>
      </w:r>
      <w:r w:rsidR="00CE76A4" w:rsidRPr="00BD18A8">
        <w:t>a</w:t>
      </w:r>
      <w:r w:rsidR="00CE76A4">
        <w:t xml:space="preserve">cademic admission or rehire with the </w:t>
      </w:r>
      <w:r w:rsidR="00CE76A4" w:rsidRPr="00311801">
        <w:rPr>
          <w:highlight w:val="lightGray"/>
        </w:rPr>
        <w:t>Recipient</w:t>
      </w:r>
      <w:r>
        <w:t>. T</w:t>
      </w:r>
      <w:r w:rsidR="00CE76A4">
        <w:t xml:space="preserve">he records retained by the </w:t>
      </w:r>
      <w:r w:rsidR="00CE76A4" w:rsidRPr="00AF3A31">
        <w:rPr>
          <w:highlight w:val="lightGray"/>
        </w:rPr>
        <w:t>Administrator</w:t>
      </w:r>
      <w:r w:rsidR="00CE76A4">
        <w:t xml:space="preserve"> will reflect that status. </w:t>
      </w:r>
      <w:r w:rsidR="00F766D9">
        <w:br/>
      </w:r>
    </w:p>
    <w:p w14:paraId="33575C8D" w14:textId="6B8ABC06" w:rsidR="00204659" w:rsidRDefault="00204659" w:rsidP="00204659">
      <w:pPr>
        <w:pStyle w:val="Heading1"/>
      </w:pPr>
      <w:bookmarkStart w:id="142" w:name="_Toc168477568"/>
      <w:r>
        <w:t>Appeal of the Determination</w:t>
      </w:r>
      <w:bookmarkEnd w:id="142"/>
    </w:p>
    <w:p w14:paraId="1D50D1D5" w14:textId="77777777" w:rsidR="00204659" w:rsidRDefault="00204659" w:rsidP="00204659"/>
    <w:p w14:paraId="408E99A4" w14:textId="1CF80D63" w:rsidR="00204659" w:rsidRDefault="00204659" w:rsidP="00204659">
      <w:r w:rsidRPr="00ED3CAB">
        <w:t xml:space="preserve">The </w:t>
      </w:r>
      <w:r w:rsidRPr="00AF4053">
        <w:rPr>
          <w:highlight w:val="lightGray"/>
        </w:rPr>
        <w:t>Administrator</w:t>
      </w:r>
      <w:r w:rsidRPr="00ED3CAB">
        <w:t xml:space="preserve"> will designate a three-member </w:t>
      </w:r>
      <w:r w:rsidR="00231C61">
        <w:t>A</w:t>
      </w:r>
      <w:r w:rsidRPr="00ED3CAB">
        <w:t xml:space="preserve">ppeal </w:t>
      </w:r>
      <w:r w:rsidR="00231C61">
        <w:t>P</w:t>
      </w:r>
      <w:r w:rsidRPr="00ED3CAB">
        <w:t>anel</w:t>
      </w:r>
      <w:r w:rsidR="00B8510B">
        <w:t>,</w:t>
      </w:r>
      <w:r w:rsidRPr="00ED3CAB">
        <w:t xml:space="preserve"> </w:t>
      </w:r>
      <w:r w:rsidR="00CE3517">
        <w:t>or</w:t>
      </w:r>
      <w:r w:rsidRPr="00ED3CAB">
        <w:t xml:space="preserve"> a single Appeal Decision-maker chosen from the Pool, or other trained internal or external individuals, to hear the appeal.</w:t>
      </w:r>
      <w:r w:rsidRPr="00C519BC">
        <w:t xml:space="preserve"> No </w:t>
      </w:r>
      <w:r w:rsidRPr="00ED3CAB">
        <w:t>Appeal Decision-maker(s)</w:t>
      </w:r>
      <w:r w:rsidRPr="00C519BC">
        <w:t xml:space="preserve"> will</w:t>
      </w:r>
      <w:r>
        <w:t xml:space="preserve"> have been previously involved in the Resolution Process for the </w:t>
      </w:r>
      <w:r w:rsidR="00F240C0">
        <w:t>Complaint</w:t>
      </w:r>
      <w:r>
        <w:t xml:space="preserve">, including in any supportive measure or dismissal appeal that may have been heard earlier in the process. </w:t>
      </w:r>
      <w:r w:rsidR="00C519BC" w:rsidRPr="00ED3CAB">
        <w:t>If a panel is used, a</w:t>
      </w:r>
      <w:r w:rsidRPr="00ED3CAB">
        <w:t xml:space="preserve"> voting Chair of the Appeal </w:t>
      </w:r>
      <w:r w:rsidR="00C519BC" w:rsidRPr="00ED3CAB">
        <w:t>P</w:t>
      </w:r>
      <w:r w:rsidRPr="00ED3CAB">
        <w:t xml:space="preserve">anel will be designated by the </w:t>
      </w:r>
      <w:r w:rsidRPr="00C81B3D">
        <w:rPr>
          <w:highlight w:val="lightGray"/>
        </w:rPr>
        <w:t>Administrator</w:t>
      </w:r>
      <w:r w:rsidRPr="00ED3CAB">
        <w:t>.</w:t>
      </w:r>
      <w:r>
        <w:t xml:space="preserve"> </w:t>
      </w:r>
    </w:p>
    <w:p w14:paraId="63746562" w14:textId="77777777" w:rsidR="00204659" w:rsidRDefault="00204659" w:rsidP="00204659"/>
    <w:p w14:paraId="0362598A" w14:textId="6949A93B" w:rsidR="00204659" w:rsidRDefault="00204659" w:rsidP="00204659">
      <w:pPr>
        <w:pStyle w:val="Heading2"/>
      </w:pPr>
      <w:bookmarkStart w:id="143" w:name="_Toc168477569"/>
      <w:r>
        <w:t>Appeal Grounds</w:t>
      </w:r>
      <w:bookmarkEnd w:id="143"/>
    </w:p>
    <w:p w14:paraId="6F11BD0D" w14:textId="77777777" w:rsidR="00204659" w:rsidRDefault="00204659" w:rsidP="00204659"/>
    <w:p w14:paraId="168E8539" w14:textId="77777777" w:rsidR="00204659" w:rsidRDefault="00204659" w:rsidP="00204659">
      <w:pPr>
        <w:ind w:left="720"/>
      </w:pPr>
      <w:r>
        <w:t>Appeals are limited to the following grounds:</w:t>
      </w:r>
    </w:p>
    <w:p w14:paraId="7499ABF4" w14:textId="77777777" w:rsidR="00204659" w:rsidRDefault="00204659" w:rsidP="00204659">
      <w:pPr>
        <w:ind w:left="720"/>
      </w:pPr>
    </w:p>
    <w:p w14:paraId="46669E16" w14:textId="4F20FE5C" w:rsidR="00204659" w:rsidRDefault="00204659" w:rsidP="005521DD">
      <w:pPr>
        <w:pStyle w:val="ListParagraph"/>
        <w:numPr>
          <w:ilvl w:val="0"/>
          <w:numId w:val="27"/>
        </w:numPr>
      </w:pPr>
      <w:r>
        <w:t>A procedural irregularity that would change the outcome</w:t>
      </w:r>
    </w:p>
    <w:p w14:paraId="69CB81CA" w14:textId="3FCADF5F" w:rsidR="00204659" w:rsidRDefault="00204659" w:rsidP="005521DD">
      <w:pPr>
        <w:pStyle w:val="ListParagraph"/>
        <w:numPr>
          <w:ilvl w:val="0"/>
          <w:numId w:val="27"/>
        </w:numPr>
      </w:pPr>
      <w:r>
        <w:t>New evidence that would change the outcome and that was not reasonably available at the time the determination regarding responsibility or dismissal was made</w:t>
      </w:r>
    </w:p>
    <w:p w14:paraId="3F3F0D61" w14:textId="360A8FEA" w:rsidR="00204659" w:rsidRDefault="00204659" w:rsidP="005521DD">
      <w:pPr>
        <w:pStyle w:val="ListParagraph"/>
        <w:numPr>
          <w:ilvl w:val="0"/>
          <w:numId w:val="27"/>
        </w:numPr>
      </w:pPr>
      <w:r>
        <w:t xml:space="preserve">The </w:t>
      </w:r>
      <w:r w:rsidRPr="00AF3A31">
        <w:rPr>
          <w:highlight w:val="lightGray"/>
        </w:rPr>
        <w:t>Administrator</w:t>
      </w:r>
      <w:r>
        <w:t>, Investigator(s), or Decision-maker(s) had a conflict of interest or bias for or against Complainants or Respondents generally or the specific Complainant or Respondent that would change the outcome</w:t>
      </w:r>
    </w:p>
    <w:p w14:paraId="70F12AC3" w14:textId="732659AA" w:rsidR="00204659" w:rsidRPr="00F539C8" w:rsidRDefault="00204659" w:rsidP="005521DD">
      <w:pPr>
        <w:numPr>
          <w:ilvl w:val="0"/>
          <w:numId w:val="27"/>
        </w:numPr>
        <w:spacing w:before="100" w:beforeAutospacing="1"/>
        <w:rPr>
          <w:rFonts w:asciiTheme="minorHAnsi" w:hAnsiTheme="minorHAnsi" w:cstheme="minorHAnsi"/>
          <w:color w:val="000000" w:themeColor="text1"/>
        </w:rPr>
      </w:pPr>
      <w:r w:rsidRPr="00F539C8">
        <w:rPr>
          <w:rFonts w:asciiTheme="minorHAnsi" w:hAnsiTheme="minorHAnsi" w:cstheme="minorHAnsi"/>
          <w:color w:val="000000" w:themeColor="text1"/>
        </w:rPr>
        <w:t>The final determination by the Decision-maker is substantially contrary to the weight of the evidence in the record</w:t>
      </w:r>
      <w:r w:rsidR="00A9646F">
        <w:rPr>
          <w:rFonts w:asciiTheme="minorHAnsi" w:hAnsiTheme="minorHAnsi" w:cstheme="minorHAnsi"/>
          <w:color w:val="000000" w:themeColor="text1"/>
        </w:rPr>
        <w:t xml:space="preserve"> (applicable to sanctions of suspension, expulsion, or termination, only)</w:t>
      </w:r>
    </w:p>
    <w:p w14:paraId="6F026396" w14:textId="214AD2A2" w:rsidR="00204659" w:rsidRPr="00A9646F" w:rsidRDefault="00204659" w:rsidP="005521DD">
      <w:pPr>
        <w:numPr>
          <w:ilvl w:val="0"/>
          <w:numId w:val="27"/>
        </w:numPr>
        <w:spacing w:before="100" w:beforeAutospacing="1"/>
        <w:rPr>
          <w:rFonts w:asciiTheme="minorHAnsi" w:hAnsiTheme="minorHAnsi" w:cstheme="minorHAnsi"/>
          <w:color w:val="000000" w:themeColor="text1"/>
        </w:rPr>
      </w:pPr>
      <w:r w:rsidRPr="00F539C8">
        <w:rPr>
          <w:rFonts w:asciiTheme="minorHAnsi" w:hAnsiTheme="minorHAnsi" w:cstheme="minorHAnsi"/>
          <w:color w:val="000000" w:themeColor="text1"/>
        </w:rPr>
        <w:t>The sanctions fall outside the range of sanctions designated for this offense, considering the cumulative conduct/disciplinary record of the Respondent</w:t>
      </w:r>
      <w:r w:rsidR="00A9646F">
        <w:rPr>
          <w:rFonts w:asciiTheme="minorHAnsi" w:hAnsiTheme="minorHAnsi" w:cstheme="minorHAnsi"/>
          <w:color w:val="000000" w:themeColor="text1"/>
        </w:rPr>
        <w:t xml:space="preserve"> (applicable to sanctions of suspension, expulsion, or termination, only)</w:t>
      </w:r>
    </w:p>
    <w:p w14:paraId="49B36F26" w14:textId="77777777" w:rsidR="00204659" w:rsidRDefault="00204659" w:rsidP="00204659">
      <w:pPr>
        <w:ind w:left="720"/>
      </w:pPr>
    </w:p>
    <w:p w14:paraId="03BBCFD0" w14:textId="77777777" w:rsidR="00204659" w:rsidRDefault="00204659" w:rsidP="00204659">
      <w:pPr>
        <w:pStyle w:val="Heading2"/>
      </w:pPr>
      <w:bookmarkStart w:id="144" w:name="_Toc168477570"/>
      <w:r>
        <w:t>Request for Appeal</w:t>
      </w:r>
      <w:bookmarkEnd w:id="144"/>
    </w:p>
    <w:p w14:paraId="57200B38" w14:textId="77777777" w:rsidR="00204659" w:rsidRDefault="00204659" w:rsidP="00204659"/>
    <w:p w14:paraId="035B4714" w14:textId="783808A6" w:rsidR="00204659" w:rsidRDefault="00204659" w:rsidP="00F539C8">
      <w:pPr>
        <w:ind w:left="720"/>
      </w:pPr>
      <w:r>
        <w:t xml:space="preserve">Any party may submit a written request for appeal (“Request for Appeal”) to the </w:t>
      </w:r>
      <w:r w:rsidRPr="00AF4053">
        <w:rPr>
          <w:highlight w:val="lightGray"/>
        </w:rPr>
        <w:t>Administrator</w:t>
      </w:r>
      <w:r>
        <w:t xml:space="preserve"> within </w:t>
      </w:r>
      <w:r w:rsidR="003D316A" w:rsidRPr="006E024D">
        <w:rPr>
          <w:highlight w:val="lightGray"/>
        </w:rPr>
        <w:t>five (5) business</w:t>
      </w:r>
      <w:r w:rsidRPr="006E024D">
        <w:rPr>
          <w:highlight w:val="lightGray"/>
        </w:rPr>
        <w:t xml:space="preserve"> days</w:t>
      </w:r>
      <w:r>
        <w:t xml:space="preserve"> of the delivery of the Notice of Outcome.</w:t>
      </w:r>
    </w:p>
    <w:p w14:paraId="5FC274AC" w14:textId="77777777" w:rsidR="00204659" w:rsidRDefault="00204659" w:rsidP="00204659"/>
    <w:p w14:paraId="4202E358" w14:textId="18B0D21A" w:rsidR="00204659" w:rsidRDefault="00204659" w:rsidP="00F539C8">
      <w:pPr>
        <w:ind w:left="720"/>
      </w:pPr>
      <w:r>
        <w:t xml:space="preserve">The Request for Appeal will be forwarded to the </w:t>
      </w:r>
      <w:r w:rsidRPr="00ED3CAB">
        <w:t xml:space="preserve">Appeal </w:t>
      </w:r>
      <w:r w:rsidR="003D316A" w:rsidRPr="003D316A">
        <w:t>Panel</w:t>
      </w:r>
      <w:r w:rsidR="003D316A">
        <w:t xml:space="preserve"> or Decision-maker</w:t>
      </w:r>
      <w:r>
        <w:t xml:space="preserve"> for consideration to determine if the request meets the grounds for appeal (a Review for Standing). This is not a review of the merits of the appeal, but solely a determination as to whether the request could reasonably be construed to meet the grounds and is timely filed.</w:t>
      </w:r>
    </w:p>
    <w:p w14:paraId="03D8804A" w14:textId="77777777" w:rsidR="00204659" w:rsidRPr="006313B0" w:rsidRDefault="00204659" w:rsidP="00F539C8"/>
    <w:p w14:paraId="23BE37C7" w14:textId="5DDB39FC" w:rsidR="00204659" w:rsidRDefault="00204659" w:rsidP="00204659">
      <w:pPr>
        <w:ind w:left="720"/>
      </w:pPr>
      <w:r>
        <w:t xml:space="preserve">If the Request for Appeal does not provide information that meets the grounds in this Policy, the request will be denied by </w:t>
      </w:r>
      <w:r w:rsidRPr="00801469">
        <w:t xml:space="preserve">the </w:t>
      </w:r>
      <w:r w:rsidRPr="00ED3CAB">
        <w:t xml:space="preserve">Appeal </w:t>
      </w:r>
      <w:r w:rsidR="00801469">
        <w:t>Panel Chair or Decision-maker</w:t>
      </w:r>
      <w:r>
        <w:t xml:space="preserve">, and the </w:t>
      </w:r>
      <w:r w:rsidR="00801469">
        <w:t>P</w:t>
      </w:r>
      <w:r>
        <w:t xml:space="preserve">arties and their Advisors will be </w:t>
      </w:r>
      <w:r w:rsidR="00801469">
        <w:t xml:space="preserve">simultaneously </w:t>
      </w:r>
      <w:r>
        <w:t xml:space="preserve">notified in writing of the denial and the rationale. </w:t>
      </w:r>
    </w:p>
    <w:p w14:paraId="536E9D2A" w14:textId="77777777" w:rsidR="00204659" w:rsidRDefault="00204659" w:rsidP="00204659">
      <w:pPr>
        <w:ind w:left="720"/>
      </w:pPr>
    </w:p>
    <w:p w14:paraId="55904639" w14:textId="51C30BEA" w:rsidR="00204659" w:rsidRDefault="00204659" w:rsidP="00204659">
      <w:pPr>
        <w:ind w:left="720"/>
      </w:pPr>
      <w:r>
        <w:t xml:space="preserve">If any of the grounds in the Request for Appeal </w:t>
      </w:r>
      <w:proofErr w:type="gramStart"/>
      <w:r>
        <w:t>meet</w:t>
      </w:r>
      <w:proofErr w:type="gramEnd"/>
      <w:r>
        <w:t xml:space="preserve"> the grounds in this Policy, then the </w:t>
      </w:r>
      <w:r w:rsidRPr="00ED3CAB">
        <w:t xml:space="preserve">Appeal </w:t>
      </w:r>
      <w:r w:rsidR="00801469" w:rsidRPr="00801469">
        <w:t>P</w:t>
      </w:r>
      <w:r w:rsidR="00801469">
        <w:t xml:space="preserve">anel Chair or Decision-maker </w:t>
      </w:r>
      <w:r>
        <w:t xml:space="preserve">will notify all </w:t>
      </w:r>
      <w:r w:rsidR="00801469">
        <w:t>P</w:t>
      </w:r>
      <w:r>
        <w:t xml:space="preserve">arties and their Advisors, the </w:t>
      </w:r>
      <w:r w:rsidRPr="00AF3A31">
        <w:rPr>
          <w:highlight w:val="lightGray"/>
        </w:rPr>
        <w:t>Administrator</w:t>
      </w:r>
      <w:r>
        <w:t xml:space="preserve">, and, when appropriate, the Investigator(s) and/or the original Decision-maker. </w:t>
      </w:r>
    </w:p>
    <w:p w14:paraId="1AE2DD1D" w14:textId="77777777" w:rsidR="00204659" w:rsidRDefault="00204659" w:rsidP="00204659">
      <w:pPr>
        <w:ind w:left="720"/>
      </w:pPr>
    </w:p>
    <w:p w14:paraId="0C49644D" w14:textId="4CFCFCCD" w:rsidR="00204659" w:rsidRDefault="00204659" w:rsidP="00204659">
      <w:pPr>
        <w:ind w:left="720"/>
      </w:pPr>
      <w:r>
        <w:t xml:space="preserve">All other </w:t>
      </w:r>
      <w:r w:rsidR="0028631C">
        <w:t>Parties</w:t>
      </w:r>
      <w:r>
        <w:t xml:space="preserve"> and their Advisors, the </w:t>
      </w:r>
      <w:r w:rsidRPr="00ED3CAB">
        <w:rPr>
          <w:highlight w:val="lightGray"/>
        </w:rPr>
        <w:t>Administrator</w:t>
      </w:r>
      <w:r>
        <w:t xml:space="preserve">, and, when appropriate, the Investigator(s) and/or the Decision-maker will be provided a copy of the Request for Appeal with the approved grounds and then be given </w:t>
      </w:r>
      <w:r w:rsidR="00801469" w:rsidRPr="006E024D">
        <w:rPr>
          <w:highlight w:val="lightGray"/>
        </w:rPr>
        <w:t>five (5) business</w:t>
      </w:r>
      <w:r w:rsidRPr="006E024D">
        <w:rPr>
          <w:highlight w:val="lightGray"/>
        </w:rPr>
        <w:t xml:space="preserve"> days</w:t>
      </w:r>
      <w:r>
        <w:t xml:space="preserve"> to submit a response to the portion of the appeal that was approved and involves them. </w:t>
      </w:r>
      <w:r w:rsidRPr="00A65188">
        <w:t xml:space="preserve">The </w:t>
      </w:r>
      <w:r w:rsidRPr="00ED3CAB">
        <w:t xml:space="preserve">Appeal </w:t>
      </w:r>
      <w:r w:rsidR="00801469" w:rsidRPr="00ED3CAB">
        <w:t xml:space="preserve">Panel </w:t>
      </w:r>
      <w:r w:rsidRPr="00ED3CAB">
        <w:t>Chair</w:t>
      </w:r>
      <w:r w:rsidR="00801469" w:rsidRPr="00ED3CAB">
        <w:t xml:space="preserve"> or Decision-maker</w:t>
      </w:r>
      <w:r w:rsidRPr="00A65188">
        <w:t xml:space="preserve"> will forward all responses, if any, to all </w:t>
      </w:r>
      <w:r w:rsidR="00801469" w:rsidRPr="00A65188">
        <w:t>P</w:t>
      </w:r>
      <w:r w:rsidRPr="00A65188">
        <w:t>arties for review</w:t>
      </w:r>
      <w:r>
        <w:t xml:space="preserve"> and comment.</w:t>
      </w:r>
    </w:p>
    <w:p w14:paraId="76998B60" w14:textId="77777777" w:rsidR="00204659" w:rsidRDefault="00204659" w:rsidP="00204659">
      <w:pPr>
        <w:ind w:left="720"/>
      </w:pPr>
    </w:p>
    <w:p w14:paraId="7B84E4EC" w14:textId="78CB24A3" w:rsidR="00204659" w:rsidRDefault="00204659" w:rsidP="00204659">
      <w:pPr>
        <w:ind w:left="720"/>
      </w:pPr>
      <w:r>
        <w:t xml:space="preserve">The non-appealing party (if any) may also choose to appeal at this time. If so, that </w:t>
      </w:r>
      <w:r w:rsidR="00A65188">
        <w:t xml:space="preserve">Request for Appeal </w:t>
      </w:r>
      <w:r>
        <w:t xml:space="preserve">will be reviewed by </w:t>
      </w:r>
      <w:r w:rsidRPr="00A65188">
        <w:t xml:space="preserve">the </w:t>
      </w:r>
      <w:r w:rsidRPr="00ED3CAB">
        <w:t xml:space="preserve">Appeal </w:t>
      </w:r>
      <w:r w:rsidR="00A65188" w:rsidRPr="00ED3CAB">
        <w:t xml:space="preserve">Panel </w:t>
      </w:r>
      <w:r w:rsidRPr="00ED3CAB">
        <w:t>Chair</w:t>
      </w:r>
      <w:r w:rsidR="00A65188">
        <w:t xml:space="preserve"> or Decision-maker</w:t>
      </w:r>
      <w:r>
        <w:t xml:space="preserve"> to determine if it meets the grounds in this Policy</w:t>
      </w:r>
      <w:r w:rsidR="00A65188">
        <w:t xml:space="preserve"> and will</w:t>
      </w:r>
      <w:r>
        <w:t xml:space="preserve"> either </w:t>
      </w:r>
      <w:r w:rsidR="00813176">
        <w:t xml:space="preserve">be </w:t>
      </w:r>
      <w:r>
        <w:t xml:space="preserve">approved or denied. If approved, it will be forwarded to the party who initially requested an appeal, the </w:t>
      </w:r>
      <w:r w:rsidRPr="00AF3A31">
        <w:rPr>
          <w:highlight w:val="lightGray"/>
        </w:rPr>
        <w:t>Administrator</w:t>
      </w:r>
      <w:r>
        <w:t xml:space="preserve">, and the Investigator(s) and/or original Decision-maker, as necessary, who will submit their responses, if any, within </w:t>
      </w:r>
      <w:r w:rsidR="00A65188" w:rsidRPr="006E024D">
        <w:rPr>
          <w:highlight w:val="lightGray"/>
        </w:rPr>
        <w:t xml:space="preserve">five (5) business </w:t>
      </w:r>
      <w:r w:rsidRPr="006E024D">
        <w:rPr>
          <w:highlight w:val="lightGray"/>
        </w:rPr>
        <w:t>days</w:t>
      </w:r>
      <w:r>
        <w:t xml:space="preserve">. Any such responses will be circulated for review and comment by all </w:t>
      </w:r>
      <w:r w:rsidR="00A65188">
        <w:t>P</w:t>
      </w:r>
      <w:r>
        <w:t xml:space="preserve">arties. If denied, the </w:t>
      </w:r>
      <w:r w:rsidR="00A65188">
        <w:t>P</w:t>
      </w:r>
      <w:r>
        <w:t xml:space="preserve">arties will be notified accordingly, in writing. </w:t>
      </w:r>
    </w:p>
    <w:p w14:paraId="344F2619" w14:textId="77777777" w:rsidR="00204659" w:rsidRDefault="00204659" w:rsidP="00204659">
      <w:pPr>
        <w:ind w:left="720"/>
      </w:pPr>
    </w:p>
    <w:p w14:paraId="5B756A5E" w14:textId="1B1100F4" w:rsidR="00204659" w:rsidRDefault="00A65188" w:rsidP="00204659">
      <w:pPr>
        <w:ind w:left="720"/>
      </w:pPr>
      <w:r>
        <w:t xml:space="preserve">No </w:t>
      </w:r>
      <w:r w:rsidR="00204659">
        <w:t xml:space="preserve">party may submit any new Requests for Appeal after this </w:t>
      </w:r>
      <w:proofErr w:type="gramStart"/>
      <w:r w:rsidR="00204659">
        <w:t>time period</w:t>
      </w:r>
      <w:proofErr w:type="gramEnd"/>
      <w:r w:rsidR="00204659">
        <w:t xml:space="preserve">. </w:t>
      </w:r>
      <w:r w:rsidR="00204659" w:rsidRPr="00A65188">
        <w:t xml:space="preserve">The </w:t>
      </w:r>
      <w:r w:rsidR="00204659" w:rsidRPr="00ED3CAB">
        <w:t xml:space="preserve">Appeal </w:t>
      </w:r>
      <w:r w:rsidRPr="00ED3CAB">
        <w:t xml:space="preserve">Panel </w:t>
      </w:r>
      <w:r w:rsidR="00204659" w:rsidRPr="00ED3CAB">
        <w:t>Chair</w:t>
      </w:r>
      <w:r w:rsidRPr="00A65188">
        <w:t xml:space="preserve"> or Decision-maker</w:t>
      </w:r>
      <w:r w:rsidR="00204659" w:rsidRPr="00A65188">
        <w:t xml:space="preserve"> will collect any additional information need</w:t>
      </w:r>
      <w:r w:rsidR="00204659">
        <w:t xml:space="preserve">ed and all documentation regarding the approved appeal grounds, and the subsequent responses </w:t>
      </w:r>
      <w:r w:rsidR="00204659" w:rsidRPr="00311801">
        <w:rPr>
          <w:highlight w:val="lightGray"/>
        </w:rPr>
        <w:t>will be shared with the Appeal Panel</w:t>
      </w:r>
      <w:r>
        <w:rPr>
          <w:highlight w:val="lightGray"/>
        </w:rPr>
        <w:t xml:space="preserve"> or Decision-maker</w:t>
      </w:r>
      <w:r w:rsidR="0089495C">
        <w:rPr>
          <w:highlight w:val="lightGray"/>
        </w:rPr>
        <w:t>,</w:t>
      </w:r>
      <w:r>
        <w:rPr>
          <w:highlight w:val="lightGray"/>
        </w:rPr>
        <w:t xml:space="preserve"> </w:t>
      </w:r>
      <w:r>
        <w:t>who</w:t>
      </w:r>
      <w:r w:rsidR="00204659">
        <w:t xml:space="preserve"> will promptly render a decision</w:t>
      </w:r>
      <w:r w:rsidR="00204659" w:rsidRPr="00EB0962">
        <w:t xml:space="preserve">. </w:t>
      </w:r>
    </w:p>
    <w:p w14:paraId="427E7775" w14:textId="77777777" w:rsidR="00204659" w:rsidRDefault="00204659" w:rsidP="00204659">
      <w:pPr>
        <w:ind w:left="720"/>
      </w:pPr>
    </w:p>
    <w:p w14:paraId="08B99F25" w14:textId="77777777" w:rsidR="00204659" w:rsidRDefault="00204659" w:rsidP="00204659">
      <w:pPr>
        <w:pStyle w:val="Heading2"/>
      </w:pPr>
      <w:bookmarkStart w:id="145" w:name="_Toc168477571"/>
      <w:r>
        <w:t>Appeal Determination Process</w:t>
      </w:r>
      <w:bookmarkEnd w:id="145"/>
    </w:p>
    <w:p w14:paraId="541B0789" w14:textId="77777777" w:rsidR="00204659" w:rsidRDefault="00204659" w:rsidP="00204659"/>
    <w:p w14:paraId="2BFCFC58" w14:textId="7F6B800C" w:rsidR="00204659" w:rsidRDefault="00204659" w:rsidP="00204659">
      <w:pPr>
        <w:ind w:left="720"/>
      </w:pPr>
      <w:r>
        <w:t xml:space="preserve">In most cases, appeals are confined to a review of the written documentation or record of the original determination and pertinent documentation regarding the specific appeal </w:t>
      </w:r>
      <w:r>
        <w:lastRenderedPageBreak/>
        <w:t xml:space="preserve">grounds. </w:t>
      </w:r>
      <w:r w:rsidRPr="00DC21C5">
        <w:t xml:space="preserve">The Appeals Panel </w:t>
      </w:r>
      <w:r w:rsidR="00C75FF3">
        <w:t xml:space="preserve">or Decision-maker </w:t>
      </w:r>
      <w:r w:rsidRPr="00DC21C5">
        <w:t xml:space="preserve">will deliberate as soon </w:t>
      </w:r>
      <w:proofErr w:type="gramStart"/>
      <w:r w:rsidRPr="00DC21C5">
        <w:t>as</w:t>
      </w:r>
      <w:proofErr w:type="gramEnd"/>
      <w:r w:rsidRPr="00DC21C5">
        <w:t xml:space="preserve"> is practicable and discuss the merits of the appeal.</w:t>
      </w:r>
      <w:r>
        <w:t xml:space="preserve">  </w:t>
      </w:r>
    </w:p>
    <w:p w14:paraId="23699330" w14:textId="77777777" w:rsidR="00204659" w:rsidRDefault="00204659" w:rsidP="00204659">
      <w:pPr>
        <w:ind w:left="720"/>
      </w:pPr>
    </w:p>
    <w:p w14:paraId="24405C66" w14:textId="6CA271FE" w:rsidR="00204659" w:rsidRDefault="00204659" w:rsidP="00204659">
      <w:pPr>
        <w:ind w:left="720"/>
      </w:pPr>
      <w:r>
        <w:t xml:space="preserve">Appeal decisions are to be deferential to the original determination, making changes to the finding only when there is clear error and to the sanction(s)/responsive action(s) only if there is a compelling justification to do so. </w:t>
      </w:r>
      <w:r w:rsidRPr="00A30849">
        <w:t xml:space="preserve">All decisions are </w:t>
      </w:r>
      <w:r w:rsidR="0089495C">
        <w:t xml:space="preserve">made </w:t>
      </w:r>
      <w:r w:rsidRPr="00A30849">
        <w:t xml:space="preserve">by majority vote and apply the </w:t>
      </w:r>
      <w:r w:rsidRPr="00ED3CAB">
        <w:rPr>
          <w:highlight w:val="lightGray"/>
        </w:rPr>
        <w:t>[</w:t>
      </w:r>
      <w:r w:rsidRPr="00C75FF3">
        <w:rPr>
          <w:highlight w:val="lightGray"/>
        </w:rPr>
        <w:t>p</w:t>
      </w:r>
      <w:r w:rsidRPr="00311801">
        <w:rPr>
          <w:highlight w:val="lightGray"/>
        </w:rPr>
        <w:t xml:space="preserve">reponderance of the evidence </w:t>
      </w:r>
      <w:r w:rsidRPr="00AF3A31">
        <w:rPr>
          <w:b/>
          <w:bCs/>
          <w:highlight w:val="lightGray"/>
        </w:rPr>
        <w:t xml:space="preserve">OR </w:t>
      </w:r>
      <w:r w:rsidRPr="00311801">
        <w:rPr>
          <w:highlight w:val="lightGray"/>
        </w:rPr>
        <w:t>the clear and convincing evidence standard.]</w:t>
      </w:r>
    </w:p>
    <w:p w14:paraId="5425853A" w14:textId="77777777" w:rsidR="00204659" w:rsidRDefault="00204659" w:rsidP="00204659">
      <w:pPr>
        <w:ind w:left="720"/>
      </w:pPr>
    </w:p>
    <w:p w14:paraId="3E74E98C" w14:textId="73BE3C77" w:rsidR="00204659" w:rsidRDefault="00204659" w:rsidP="00204659">
      <w:pPr>
        <w:ind w:left="720"/>
      </w:pPr>
      <w:r>
        <w:t xml:space="preserve">An appeal is not an opportunity for </w:t>
      </w:r>
      <w:r w:rsidR="00D65744">
        <w:t xml:space="preserve">the </w:t>
      </w:r>
      <w:r w:rsidRPr="00ED3CAB">
        <w:t xml:space="preserve">Appeal </w:t>
      </w:r>
      <w:r w:rsidR="00D65744">
        <w:t xml:space="preserve">Panel or </w:t>
      </w:r>
      <w:r w:rsidRPr="00ED3CAB">
        <w:t>Decision-makers</w:t>
      </w:r>
      <w:r>
        <w:t xml:space="preserve"> to substitute their judgment for that of the original Decision-maker merely because they disagree with the finding and/or sanction(s). </w:t>
      </w:r>
    </w:p>
    <w:p w14:paraId="263073C8" w14:textId="77777777" w:rsidR="00204659" w:rsidRDefault="00204659" w:rsidP="00204659">
      <w:pPr>
        <w:ind w:left="720"/>
      </w:pPr>
    </w:p>
    <w:p w14:paraId="2BD683EB" w14:textId="5A1C4B5D" w:rsidR="00204659" w:rsidRDefault="00204659" w:rsidP="00F539C8">
      <w:pPr>
        <w:ind w:left="720"/>
      </w:pPr>
      <w:r w:rsidRPr="00D65744">
        <w:t xml:space="preserve">The </w:t>
      </w:r>
      <w:r w:rsidRPr="00ED3CAB">
        <w:t xml:space="preserve">Appeal </w:t>
      </w:r>
      <w:r w:rsidR="00D65744" w:rsidRPr="00D65744">
        <w:t>Panel</w:t>
      </w:r>
      <w:r w:rsidR="00D65744">
        <w:t xml:space="preserve"> or Decision-maker</w:t>
      </w:r>
      <w:r>
        <w:t xml:space="preserve"> may consult with the </w:t>
      </w:r>
      <w:r w:rsidRPr="006313B0">
        <w:rPr>
          <w:highlight w:val="lightGray"/>
        </w:rPr>
        <w:t>Administrator</w:t>
      </w:r>
      <w:r>
        <w:t xml:space="preserve"> and/or legal counsel on questions of procedure or rationale, for clarification, if needed. The </w:t>
      </w:r>
      <w:r w:rsidRPr="00ED3CAB">
        <w:rPr>
          <w:highlight w:val="lightGray"/>
        </w:rPr>
        <w:t>Administrator</w:t>
      </w:r>
      <w:r>
        <w:t xml:space="preserve"> will maintain documentation of all such </w:t>
      </w:r>
      <w:proofErr w:type="gramStart"/>
      <w:r>
        <w:t>consultation</w:t>
      </w:r>
      <w:proofErr w:type="gramEnd"/>
      <w:r>
        <w:t>.</w:t>
      </w:r>
    </w:p>
    <w:p w14:paraId="5F8F940E" w14:textId="77777777" w:rsidR="00204659" w:rsidRPr="006313B0" w:rsidRDefault="00204659" w:rsidP="00F539C8"/>
    <w:p w14:paraId="222FB414" w14:textId="77777777" w:rsidR="00204659" w:rsidRDefault="00204659" w:rsidP="00204659">
      <w:pPr>
        <w:pStyle w:val="Heading2"/>
      </w:pPr>
      <w:bookmarkStart w:id="146" w:name="_Toc168477572"/>
      <w:r>
        <w:t>Appeal Outcome</w:t>
      </w:r>
      <w:bookmarkEnd w:id="146"/>
    </w:p>
    <w:p w14:paraId="1B1C38B0" w14:textId="77777777" w:rsidR="00204659" w:rsidRPr="006313B0" w:rsidRDefault="00204659" w:rsidP="00F539C8"/>
    <w:p w14:paraId="24B76E1D" w14:textId="48BCA10F" w:rsidR="00204659" w:rsidRDefault="00204659" w:rsidP="00204659">
      <w:pPr>
        <w:pStyle w:val="ListParagraph"/>
      </w:pPr>
      <w:r>
        <w:t xml:space="preserve">An appeal may be granted or denied. Appeals that are </w:t>
      </w:r>
      <w:proofErr w:type="gramStart"/>
      <w:r>
        <w:t>granted should</w:t>
      </w:r>
      <w:proofErr w:type="gramEnd"/>
      <w:r>
        <w:t xml:space="preserve"> normally be remanded (or partially remanded) to the original Investigator(s) and/or Decision-maker with corrective instructions for reconsideration. In rare circumstances where an error cannot be cured by the original Investigator(s) and/or Decision-maker or the </w:t>
      </w:r>
      <w:r w:rsidRPr="00ED3CAB">
        <w:rPr>
          <w:highlight w:val="lightGray"/>
        </w:rPr>
        <w:t>Administrator</w:t>
      </w:r>
      <w:r>
        <w:t xml:space="preserve"> (as in cases of bias), </w:t>
      </w:r>
      <w:r w:rsidRPr="00D65744">
        <w:t xml:space="preserve">the </w:t>
      </w:r>
      <w:r w:rsidRPr="00ED3CAB">
        <w:t xml:space="preserve">Appeal </w:t>
      </w:r>
      <w:r w:rsidR="00D65744" w:rsidRPr="00ED3CAB">
        <w:t xml:space="preserve">Panel or </w:t>
      </w:r>
      <w:r w:rsidRPr="00ED3CAB">
        <w:t>Decision-maker</w:t>
      </w:r>
      <w:r>
        <w:t xml:space="preserve"> may order a new investigation and/or a new determination with new </w:t>
      </w:r>
      <w:r w:rsidRPr="00ED3CAB">
        <w:t>Pool</w:t>
      </w:r>
      <w:r>
        <w:t xml:space="preserve"> members serving in the Investigator and Decision-maker roles. </w:t>
      </w:r>
    </w:p>
    <w:p w14:paraId="2C080E87" w14:textId="77777777" w:rsidR="00204659" w:rsidRDefault="00204659" w:rsidP="00204659">
      <w:pPr>
        <w:ind w:left="720"/>
      </w:pPr>
    </w:p>
    <w:p w14:paraId="4C22092A" w14:textId="077B9A90" w:rsidR="00204659" w:rsidRDefault="00204659" w:rsidP="00204659">
      <w:pPr>
        <w:ind w:left="720"/>
      </w:pPr>
      <w:r>
        <w:t xml:space="preserve">A Notice of Appeal Outcome letter will be sent to all </w:t>
      </w:r>
      <w:r w:rsidR="00E039C4">
        <w:t>P</w:t>
      </w:r>
      <w:r>
        <w:t xml:space="preserve">arties simultaneously, or without significant time delay between notifications. The Appeal Outcome will specify the finding on each ground for appeal, any specific instructions for remand or reconsideration, any sanction(s) that may result which the </w:t>
      </w:r>
      <w:r w:rsidRPr="00311801">
        <w:rPr>
          <w:highlight w:val="lightGray"/>
        </w:rPr>
        <w:t>Recipient</w:t>
      </w:r>
      <w:r>
        <w:t xml:space="preserve"> is permitted to share according to federal or state law, and the rationale supporting the essential findings to the extent the </w:t>
      </w:r>
      <w:r w:rsidRPr="00311801">
        <w:rPr>
          <w:highlight w:val="lightGray"/>
        </w:rPr>
        <w:t>Recipient</w:t>
      </w:r>
      <w:r>
        <w:t xml:space="preserve"> is permitted to share under federal or state law. </w:t>
      </w:r>
    </w:p>
    <w:p w14:paraId="6728EF85" w14:textId="77777777" w:rsidR="00204659" w:rsidRDefault="00204659" w:rsidP="00F539C8"/>
    <w:p w14:paraId="2879A6C5" w14:textId="4E7F5EB4" w:rsidR="00204659" w:rsidRDefault="00204659" w:rsidP="00204659">
      <w:pPr>
        <w:ind w:left="720"/>
      </w:pPr>
      <w:r>
        <w:t xml:space="preserve">Written notification may be delivered by one or more of the following methods: in person, mailed to the local or permanent address of the </w:t>
      </w:r>
      <w:r w:rsidR="0028631C">
        <w:t>Parties</w:t>
      </w:r>
      <w:r>
        <w:t xml:space="preserve"> as indicated in official institutional records, or emailed to the </w:t>
      </w:r>
      <w:r w:rsidR="0028631C">
        <w:t>Parties</w:t>
      </w:r>
      <w:r>
        <w:t xml:space="preserve">’ </w:t>
      </w:r>
      <w:r w:rsidRPr="00311801">
        <w:rPr>
          <w:highlight w:val="lightGray"/>
        </w:rPr>
        <w:t>Recipient</w:t>
      </w:r>
      <w:r>
        <w:t>-issued email or otherwise approved account. Once mailed, emailed</w:t>
      </w:r>
      <w:r w:rsidR="00D85A53">
        <w:t>,</w:t>
      </w:r>
      <w:r>
        <w:t xml:space="preserve"> and/or received in</w:t>
      </w:r>
      <w:r w:rsidR="006D24A9">
        <w:t xml:space="preserve"> </w:t>
      </w:r>
      <w:r>
        <w:t xml:space="preserve">person, </w:t>
      </w:r>
      <w:r w:rsidR="00F240C0">
        <w:t xml:space="preserve">the Appeal Outcome </w:t>
      </w:r>
      <w:r>
        <w:t>will be presumptively delivered.</w:t>
      </w:r>
    </w:p>
    <w:p w14:paraId="16FC7B89" w14:textId="77777777" w:rsidR="00204659" w:rsidRDefault="00204659" w:rsidP="00F539C8"/>
    <w:p w14:paraId="6F1C0717" w14:textId="1C35552F" w:rsidR="00204659" w:rsidRDefault="00204659" w:rsidP="00204659">
      <w:pPr>
        <w:ind w:left="720"/>
      </w:pPr>
      <w:r>
        <w:t xml:space="preserve">Once an appeal is decided, the outcome is final and constitutes the Final Determination; further appeals are not permitted, even if a decision or sanction is changed on </w:t>
      </w:r>
      <w:proofErr w:type="gramStart"/>
      <w:r>
        <w:t>remand</w:t>
      </w:r>
      <w:proofErr w:type="gramEnd"/>
      <w:r>
        <w:t xml:space="preserve"> (except in the case of a new determination). </w:t>
      </w:r>
      <w:r w:rsidRPr="00ED3CAB">
        <w:t xml:space="preserve">When appeals result in no change to the finding or sanction, that decision is final. When an appeal results in a new finding or </w:t>
      </w:r>
      <w:r w:rsidRPr="00ED3CAB">
        <w:lastRenderedPageBreak/>
        <w:t xml:space="preserve">sanction, that </w:t>
      </w:r>
      <w:proofErr w:type="gramStart"/>
      <w:r w:rsidRPr="00ED3CAB">
        <w:t>finding</w:t>
      </w:r>
      <w:proofErr w:type="gramEnd"/>
      <w:r w:rsidRPr="00ED3CAB">
        <w:t xml:space="preserve"> or sanction can be appealed one final time on the grounds listed above and in accordance with these procedures.</w:t>
      </w:r>
      <w:r>
        <w:t xml:space="preserve"> </w:t>
      </w:r>
    </w:p>
    <w:p w14:paraId="2148F2C5" w14:textId="77777777" w:rsidR="00204659" w:rsidRDefault="00204659" w:rsidP="00204659">
      <w:pPr>
        <w:pStyle w:val="ListParagraph"/>
        <w:ind w:left="1440"/>
        <w:rPr>
          <w:highlight w:val="lightGray"/>
        </w:rPr>
      </w:pPr>
    </w:p>
    <w:p w14:paraId="06963B53" w14:textId="1A5AFE8A" w:rsidR="00204659" w:rsidRDefault="00E039C4" w:rsidP="00204659">
      <w:pPr>
        <w:pStyle w:val="ListParagraph"/>
      </w:pPr>
      <w:r>
        <w:t xml:space="preserve">If a remand </w:t>
      </w:r>
      <w:r w:rsidR="00204659">
        <w:t xml:space="preserve">results </w:t>
      </w:r>
      <w:r>
        <w:t>in</w:t>
      </w:r>
      <w:r w:rsidR="00204659">
        <w:t xml:space="preserve"> a new determination</w:t>
      </w:r>
      <w:r>
        <w:t xml:space="preserve"> that is different from the appealed determination, that new determination</w:t>
      </w:r>
      <w:r w:rsidR="00204659">
        <w:t xml:space="preserve"> can be appealed, once, on any of the five available appeal grounds. </w:t>
      </w:r>
    </w:p>
    <w:p w14:paraId="4C6E84C4" w14:textId="77777777" w:rsidR="00204659" w:rsidRDefault="00204659" w:rsidP="00204659"/>
    <w:p w14:paraId="3B70EB3C" w14:textId="77777777" w:rsidR="00204659" w:rsidRDefault="00204659" w:rsidP="00204659">
      <w:pPr>
        <w:pStyle w:val="Heading2"/>
      </w:pPr>
      <w:bookmarkStart w:id="147" w:name="_Toc168477573"/>
      <w:r>
        <w:t>Sanction Status During the Appeal</w:t>
      </w:r>
      <w:bookmarkEnd w:id="147"/>
    </w:p>
    <w:p w14:paraId="75FD27DF" w14:textId="77777777" w:rsidR="00204659" w:rsidRDefault="00204659" w:rsidP="00204659"/>
    <w:p w14:paraId="0BEF965E" w14:textId="4DDB69A1" w:rsidR="00204659" w:rsidRDefault="00204659" w:rsidP="00204659">
      <w:pPr>
        <w:ind w:left="720"/>
      </w:pPr>
      <w:r>
        <w:t xml:space="preserve">Any sanctions imposed </w:t>
      </w:r>
      <w:proofErr w:type="gramStart"/>
      <w:r>
        <w:t>as a result of</w:t>
      </w:r>
      <w:proofErr w:type="gramEnd"/>
      <w:r>
        <w:t xml:space="preserve"> the determination are stayed (i.e., not implemented) during the appeal process</w:t>
      </w:r>
      <w:r w:rsidR="00A02D01">
        <w:t>,</w:t>
      </w:r>
      <w:r>
        <w:t xml:space="preserve"> and supportive measures may be maintained or reinstated until the appeal determination is made.</w:t>
      </w:r>
    </w:p>
    <w:p w14:paraId="01684D79" w14:textId="77777777" w:rsidR="00204659" w:rsidRDefault="00204659" w:rsidP="00204659">
      <w:pPr>
        <w:ind w:left="720"/>
      </w:pPr>
    </w:p>
    <w:p w14:paraId="1970CCB6" w14:textId="66215D07" w:rsidR="00204659" w:rsidRDefault="00204659" w:rsidP="00204659">
      <w:pPr>
        <w:ind w:left="720"/>
      </w:pPr>
      <w:r>
        <w:t xml:space="preserve">If any of the sanctions are to be implemented immediately post-determination, but pre-appeal, then the emergency removal procedures (detailed above) for a </w:t>
      </w:r>
      <w:r w:rsidR="0029209C">
        <w:t>“</w:t>
      </w:r>
      <w:r>
        <w:t>show cause</w:t>
      </w:r>
      <w:r w:rsidR="0029209C">
        <w:t>”</w:t>
      </w:r>
      <w:r>
        <w:t xml:space="preserve"> meeting on the justification for doing so must be permitted within </w:t>
      </w:r>
      <w:r w:rsidR="00214568" w:rsidRPr="006E024D">
        <w:rPr>
          <w:highlight w:val="lightGray"/>
        </w:rPr>
        <w:t>two (2) business days</w:t>
      </w:r>
      <w:r>
        <w:t xml:space="preserve"> of implementation. </w:t>
      </w:r>
    </w:p>
    <w:p w14:paraId="2AF41A86" w14:textId="77777777" w:rsidR="00204659" w:rsidRPr="00311801" w:rsidRDefault="00204659" w:rsidP="00204659"/>
    <w:p w14:paraId="71AA3E46" w14:textId="77777777" w:rsidR="00204659" w:rsidRDefault="00204659" w:rsidP="00204659">
      <w:pPr>
        <w:pStyle w:val="Heading1"/>
      </w:pPr>
      <w:bookmarkStart w:id="148" w:name="_Toc168477574"/>
      <w:r>
        <w:t>Long-Term Remedies/Other Actions</w:t>
      </w:r>
      <w:bookmarkEnd w:id="148"/>
    </w:p>
    <w:p w14:paraId="2B23FB17" w14:textId="77777777" w:rsidR="00204659" w:rsidRDefault="00204659" w:rsidP="00204659"/>
    <w:p w14:paraId="1E647E58" w14:textId="12DDE408" w:rsidR="00204659" w:rsidRDefault="00204659" w:rsidP="00204659">
      <w:r>
        <w:t xml:space="preserve">Following the conclusion of the Resolution Process, and in addition to any sanctions implemented or Informal Resolution terms, the </w:t>
      </w:r>
      <w:r w:rsidRPr="00AF3A31">
        <w:rPr>
          <w:highlight w:val="lightGray"/>
        </w:rPr>
        <w:t>Administrator</w:t>
      </w:r>
      <w:r>
        <w:t xml:space="preserve"> may implement additional long-term remedies or actions with respect to the </w:t>
      </w:r>
      <w:r w:rsidR="0028631C">
        <w:t>Parties</w:t>
      </w:r>
      <w:r>
        <w:t xml:space="preserve"> and/or the </w:t>
      </w:r>
      <w:r w:rsidR="00980514" w:rsidRPr="00ED3CAB">
        <w:rPr>
          <w:highlight w:val="lightGray"/>
        </w:rPr>
        <w:t>Recipient</w:t>
      </w:r>
      <w:r w:rsidR="00980514">
        <w:t xml:space="preserve"> </w:t>
      </w:r>
      <w:r>
        <w:t xml:space="preserve">community that are intended to stop the discrimination, </w:t>
      </w:r>
      <w:r w:rsidR="00D2711A">
        <w:t xml:space="preserve">harassment, </w:t>
      </w:r>
      <w:r>
        <w:t xml:space="preserve">and/or retaliation, remedy the effects, and prevent </w:t>
      </w:r>
      <w:r w:rsidR="00D2711A">
        <w:t>recurrence</w:t>
      </w:r>
      <w:r>
        <w:t xml:space="preserve">. </w:t>
      </w:r>
    </w:p>
    <w:p w14:paraId="104FB968" w14:textId="77777777" w:rsidR="00204659" w:rsidRDefault="00204659" w:rsidP="00204659"/>
    <w:p w14:paraId="5D88908A" w14:textId="77777777" w:rsidR="00204659" w:rsidRDefault="00204659" w:rsidP="00204659">
      <w:r>
        <w:t xml:space="preserve">These remedies/actions may include, but are not limited to: </w:t>
      </w:r>
    </w:p>
    <w:p w14:paraId="5B1DDC17" w14:textId="77777777" w:rsidR="00204659" w:rsidRDefault="00204659" w:rsidP="00204659"/>
    <w:p w14:paraId="23915605" w14:textId="77777777" w:rsidR="00204659" w:rsidRDefault="00204659" w:rsidP="005521DD">
      <w:pPr>
        <w:pStyle w:val="ListParagraph"/>
        <w:numPr>
          <w:ilvl w:val="0"/>
          <w:numId w:val="28"/>
        </w:numPr>
      </w:pPr>
      <w:r>
        <w:t>Referral to counseling and health services</w:t>
      </w:r>
    </w:p>
    <w:p w14:paraId="199DB45E" w14:textId="77777777" w:rsidR="00204659" w:rsidRDefault="00204659" w:rsidP="005521DD">
      <w:pPr>
        <w:pStyle w:val="ListParagraph"/>
        <w:numPr>
          <w:ilvl w:val="0"/>
          <w:numId w:val="28"/>
        </w:numPr>
      </w:pPr>
      <w:r>
        <w:t>Referral to the Employee Assistance Program</w:t>
      </w:r>
    </w:p>
    <w:p w14:paraId="521D369D" w14:textId="7A3BC061" w:rsidR="00204659" w:rsidRDefault="00204659" w:rsidP="005521DD">
      <w:pPr>
        <w:pStyle w:val="ListParagraph"/>
        <w:numPr>
          <w:ilvl w:val="0"/>
          <w:numId w:val="28"/>
        </w:numPr>
      </w:pPr>
      <w:r>
        <w:t>Course and registration adjustments</w:t>
      </w:r>
      <w:r w:rsidR="00CB325E">
        <w:t>,</w:t>
      </w:r>
      <w:r>
        <w:t xml:space="preserve"> such as retroactive withdrawals</w:t>
      </w:r>
    </w:p>
    <w:p w14:paraId="45C51547" w14:textId="77777777" w:rsidR="00204659" w:rsidRDefault="00204659" w:rsidP="005521DD">
      <w:pPr>
        <w:pStyle w:val="ListParagraph"/>
        <w:numPr>
          <w:ilvl w:val="0"/>
          <w:numId w:val="28"/>
        </w:numPr>
      </w:pPr>
      <w:r>
        <w:t xml:space="preserve">Education to the individual and/or the community </w:t>
      </w:r>
    </w:p>
    <w:p w14:paraId="34CE2261" w14:textId="77777777" w:rsidR="00204659" w:rsidRDefault="00204659" w:rsidP="005521DD">
      <w:pPr>
        <w:pStyle w:val="ListParagraph"/>
        <w:numPr>
          <w:ilvl w:val="0"/>
          <w:numId w:val="28"/>
        </w:numPr>
      </w:pPr>
      <w:r>
        <w:t>Permanent alteration of housing assignments</w:t>
      </w:r>
    </w:p>
    <w:p w14:paraId="6309B80E" w14:textId="77777777" w:rsidR="00204659" w:rsidRDefault="00204659" w:rsidP="005521DD">
      <w:pPr>
        <w:pStyle w:val="ListParagraph"/>
        <w:numPr>
          <w:ilvl w:val="0"/>
          <w:numId w:val="28"/>
        </w:numPr>
      </w:pPr>
      <w:r>
        <w:t>Permanent alteration of work arrangements for employees</w:t>
      </w:r>
    </w:p>
    <w:p w14:paraId="06E6E29B" w14:textId="77777777" w:rsidR="00204659" w:rsidRDefault="00204659" w:rsidP="005521DD">
      <w:pPr>
        <w:pStyle w:val="ListParagraph"/>
        <w:numPr>
          <w:ilvl w:val="0"/>
          <w:numId w:val="28"/>
        </w:numPr>
      </w:pPr>
      <w:r>
        <w:t>Provision of campus safety escorts</w:t>
      </w:r>
    </w:p>
    <w:p w14:paraId="62900EE7" w14:textId="77777777" w:rsidR="00204659" w:rsidRDefault="00204659" w:rsidP="005521DD">
      <w:pPr>
        <w:pStyle w:val="ListParagraph"/>
        <w:numPr>
          <w:ilvl w:val="0"/>
          <w:numId w:val="28"/>
        </w:numPr>
      </w:pPr>
      <w:r>
        <w:t>Climate surveys</w:t>
      </w:r>
    </w:p>
    <w:p w14:paraId="4B988F68" w14:textId="77777777" w:rsidR="00204659" w:rsidRDefault="00204659" w:rsidP="005521DD">
      <w:pPr>
        <w:pStyle w:val="ListParagraph"/>
        <w:numPr>
          <w:ilvl w:val="0"/>
          <w:numId w:val="28"/>
        </w:numPr>
      </w:pPr>
      <w:r>
        <w:t>Policy modification and/or training</w:t>
      </w:r>
    </w:p>
    <w:p w14:paraId="36C25A4E" w14:textId="77777777" w:rsidR="00204659" w:rsidRDefault="00204659" w:rsidP="005521DD">
      <w:pPr>
        <w:pStyle w:val="ListParagraph"/>
        <w:numPr>
          <w:ilvl w:val="0"/>
          <w:numId w:val="28"/>
        </w:numPr>
      </w:pPr>
      <w:r>
        <w:t>Provision of transportation assistance</w:t>
      </w:r>
    </w:p>
    <w:p w14:paraId="590F2DCA" w14:textId="6581D368" w:rsidR="00204659" w:rsidRDefault="00204659" w:rsidP="005521DD">
      <w:pPr>
        <w:pStyle w:val="ListParagraph"/>
        <w:numPr>
          <w:ilvl w:val="0"/>
          <w:numId w:val="28"/>
        </w:numPr>
      </w:pPr>
      <w:r>
        <w:t xml:space="preserve">Implementation of long-term contact limitations between the </w:t>
      </w:r>
      <w:r w:rsidR="0028631C">
        <w:t>Parties</w:t>
      </w:r>
    </w:p>
    <w:p w14:paraId="365C74DA" w14:textId="77777777" w:rsidR="00204659" w:rsidRDefault="00204659" w:rsidP="005521DD">
      <w:pPr>
        <w:pStyle w:val="ListParagraph"/>
        <w:numPr>
          <w:ilvl w:val="0"/>
          <w:numId w:val="28"/>
        </w:numPr>
      </w:pPr>
      <w:r>
        <w:t xml:space="preserve">Implementation of adjustments to academic deadlines, course schedules, etc. </w:t>
      </w:r>
    </w:p>
    <w:p w14:paraId="13FB9A34" w14:textId="77777777" w:rsidR="00204659" w:rsidRDefault="00204659" w:rsidP="00204659"/>
    <w:p w14:paraId="3657698C" w14:textId="2846654D" w:rsidR="00204659" w:rsidRDefault="00204659" w:rsidP="00204659">
      <w:r>
        <w:t xml:space="preserve">At the discretion of the </w:t>
      </w:r>
      <w:r w:rsidRPr="00AF3A31">
        <w:rPr>
          <w:highlight w:val="lightGray"/>
        </w:rPr>
        <w:t>Administrator</w:t>
      </w:r>
      <w:r>
        <w:t xml:space="preserve">, certain long-term supportive measures may also be provided to the </w:t>
      </w:r>
      <w:r w:rsidR="00A73F1F">
        <w:t>P</w:t>
      </w:r>
      <w:r>
        <w:t xml:space="preserve">arties even if no </w:t>
      </w:r>
      <w:r w:rsidR="00D715ED">
        <w:t>P</w:t>
      </w:r>
      <w:r>
        <w:t xml:space="preserve">olicy violation is found. </w:t>
      </w:r>
    </w:p>
    <w:p w14:paraId="52790397" w14:textId="77777777" w:rsidR="00204659" w:rsidRDefault="00204659" w:rsidP="00204659"/>
    <w:p w14:paraId="078B88A2" w14:textId="2FA9133D" w:rsidR="00204659" w:rsidRDefault="00204659" w:rsidP="00204659">
      <w:r>
        <w:t xml:space="preserve">When no </w:t>
      </w:r>
      <w:r w:rsidR="00D715ED">
        <w:t>P</w:t>
      </w:r>
      <w:r>
        <w:t xml:space="preserve">olicy violation is found, the </w:t>
      </w:r>
      <w:r w:rsidRPr="00AF3A31">
        <w:rPr>
          <w:highlight w:val="lightGray"/>
        </w:rPr>
        <w:t>Administrator</w:t>
      </w:r>
      <w:r>
        <w:t xml:space="preserve"> will address any remedies the </w:t>
      </w:r>
      <w:r w:rsidRPr="00043733">
        <w:rPr>
          <w:highlight w:val="lightGray"/>
        </w:rPr>
        <w:t>Recipient</w:t>
      </w:r>
      <w:r>
        <w:t xml:space="preserve"> owes the Respondent to ensure no effective denial of educational access.</w:t>
      </w:r>
    </w:p>
    <w:p w14:paraId="0F055AFD" w14:textId="77777777" w:rsidR="00204659" w:rsidRDefault="00204659" w:rsidP="00204659"/>
    <w:p w14:paraId="5B804EDC" w14:textId="77777777" w:rsidR="00204659" w:rsidRDefault="00204659" w:rsidP="00204659">
      <w:r>
        <w:t xml:space="preserve">The </w:t>
      </w:r>
      <w:r w:rsidRPr="00BB18DA">
        <w:rPr>
          <w:highlight w:val="lightGray"/>
        </w:rPr>
        <w:t>Recipient</w:t>
      </w:r>
      <w:r>
        <w:t xml:space="preserve"> will maintain the confidentiality of any long-term remedies/actions/measures, provided confidentiality does not impair the </w:t>
      </w:r>
      <w:r w:rsidRPr="00BB18DA">
        <w:rPr>
          <w:highlight w:val="lightGray"/>
        </w:rPr>
        <w:t>Recipient</w:t>
      </w:r>
      <w:r>
        <w:t>’s ability to provide these services.</w:t>
      </w:r>
    </w:p>
    <w:p w14:paraId="645E3B8A" w14:textId="77777777" w:rsidR="00204659" w:rsidRPr="00BB18DA" w:rsidRDefault="00204659" w:rsidP="00204659"/>
    <w:p w14:paraId="0E1F135F" w14:textId="77777777" w:rsidR="00204659" w:rsidRDefault="00204659" w:rsidP="00204659">
      <w:pPr>
        <w:pStyle w:val="Heading1"/>
      </w:pPr>
      <w:bookmarkStart w:id="149" w:name="_Toc168477575"/>
      <w:r>
        <w:t>Failure to Comply with Sanctions, Responsive Actions, and/or Informal Resolution Terms</w:t>
      </w:r>
      <w:bookmarkEnd w:id="149"/>
    </w:p>
    <w:p w14:paraId="5936EF1D" w14:textId="77777777" w:rsidR="00204659" w:rsidRDefault="00204659" w:rsidP="00204659"/>
    <w:p w14:paraId="2B800FF1" w14:textId="078C51C4" w:rsidR="00204659" w:rsidRDefault="00204659" w:rsidP="00204659">
      <w:r>
        <w:t>All Respondents are expected to comply with the assigned sanctions, responsive actions, corrective actions, and/or Informal Resolution terms within the timeframe specified by the final Decision-maker(s)</w:t>
      </w:r>
      <w:r w:rsidR="004B2AF5">
        <w:t xml:space="preserve">, </w:t>
      </w:r>
      <w:r>
        <w:t xml:space="preserve">including </w:t>
      </w:r>
      <w:r w:rsidRPr="004B2AF5">
        <w:t xml:space="preserve">the </w:t>
      </w:r>
      <w:r w:rsidRPr="00ED3CAB">
        <w:t xml:space="preserve">Appeal </w:t>
      </w:r>
      <w:r w:rsidR="004B2AF5" w:rsidRPr="00ED3CAB">
        <w:t xml:space="preserve">Panel or </w:t>
      </w:r>
      <w:r w:rsidRPr="00ED3CAB">
        <w:t>Decision-make</w:t>
      </w:r>
      <w:r w:rsidR="004B2AF5" w:rsidRPr="004B2AF5">
        <w:t xml:space="preserve">r </w:t>
      </w:r>
      <w:r w:rsidRPr="004B2AF5">
        <w:t>or the Informal Resolution agreement.</w:t>
      </w:r>
      <w:r>
        <w:t xml:space="preserve"> </w:t>
      </w:r>
    </w:p>
    <w:p w14:paraId="6AF0534F" w14:textId="77777777" w:rsidR="00204659" w:rsidRDefault="00204659" w:rsidP="00204659"/>
    <w:p w14:paraId="20B8F7D6" w14:textId="2D297C89" w:rsidR="00204659" w:rsidRDefault="00204659" w:rsidP="00204659">
      <w:r>
        <w:t xml:space="preserve">Failure to abide by the sanction(s)/action(s) imposed by the date specified, whether by refusal, neglect, or any other reason, may result in additional sanction(s)/action(s), including suspension, expulsion, and/or termination from the </w:t>
      </w:r>
      <w:r w:rsidRPr="001B788E">
        <w:rPr>
          <w:highlight w:val="lightGray"/>
        </w:rPr>
        <w:t>Recipient</w:t>
      </w:r>
      <w:r>
        <w:t xml:space="preserve">. </w:t>
      </w:r>
    </w:p>
    <w:p w14:paraId="73088310" w14:textId="77777777" w:rsidR="00204659" w:rsidRDefault="00204659" w:rsidP="00204659"/>
    <w:p w14:paraId="2898F11A" w14:textId="12C0B171" w:rsidR="00204659" w:rsidRDefault="00204659" w:rsidP="00204659">
      <w:r>
        <w:t xml:space="preserve">Supervisors are expected to enforce </w:t>
      </w:r>
      <w:r w:rsidR="00C657B5">
        <w:t xml:space="preserve">the </w:t>
      </w:r>
      <w:r>
        <w:t>completion of sanctions/responsive actions for their employees.</w:t>
      </w:r>
    </w:p>
    <w:p w14:paraId="0E6648B1" w14:textId="77777777" w:rsidR="00204659" w:rsidRDefault="00204659" w:rsidP="00204659"/>
    <w:p w14:paraId="04FF6467" w14:textId="61C36D7F" w:rsidR="00204659" w:rsidRDefault="00204659" w:rsidP="00204659">
      <w:r>
        <w:t xml:space="preserve">A suspension </w:t>
      </w:r>
      <w:r w:rsidR="0085065A">
        <w:t xml:space="preserve">imposed for non-compliance </w:t>
      </w:r>
      <w:r w:rsidR="004B2AF5">
        <w:t xml:space="preserve">with sanctions </w:t>
      </w:r>
      <w:r>
        <w:t xml:space="preserve">will only be lifted when compliance is achieved to the </w:t>
      </w:r>
      <w:r w:rsidRPr="00ED3CAB">
        <w:rPr>
          <w:highlight w:val="lightGray"/>
        </w:rPr>
        <w:t>Administrator’s</w:t>
      </w:r>
      <w:r>
        <w:t xml:space="preserve"> satisfaction.  </w:t>
      </w:r>
    </w:p>
    <w:p w14:paraId="37A1B74B" w14:textId="2187B001" w:rsidR="00204659" w:rsidRDefault="00204659" w:rsidP="0060221B">
      <w:pPr>
        <w:spacing w:line="259" w:lineRule="auto"/>
        <w:rPr>
          <w:rFonts w:cs="Calibri"/>
          <w:b/>
          <w:bCs/>
          <w:u w:val="single"/>
        </w:rPr>
      </w:pPr>
    </w:p>
    <w:p w14:paraId="52019395" w14:textId="77777777" w:rsidR="00204659" w:rsidRDefault="00204659" w:rsidP="00204659">
      <w:pPr>
        <w:pStyle w:val="Heading1"/>
      </w:pPr>
      <w:bookmarkStart w:id="150" w:name="_Toc168477576"/>
      <w:r>
        <w:t>Recordkeeping</w:t>
      </w:r>
      <w:bookmarkEnd w:id="150"/>
    </w:p>
    <w:p w14:paraId="2187A514" w14:textId="77777777" w:rsidR="00204659" w:rsidRDefault="00204659" w:rsidP="00204659"/>
    <w:p w14:paraId="6BD4C3F5" w14:textId="7FF1E314" w:rsidR="00204659" w:rsidRDefault="00204659" w:rsidP="00204659">
      <w:r>
        <w:t xml:space="preserve">For a period of </w:t>
      </w:r>
      <w:r w:rsidRPr="00ED3CAB">
        <w:t>at least</w:t>
      </w:r>
      <w:r w:rsidRPr="004B2AF5">
        <w:t xml:space="preserve"> seven</w:t>
      </w:r>
      <w:r>
        <w:t xml:space="preserve"> (7) years following the conclusion of the Resolution Process, </w:t>
      </w:r>
      <w:proofErr w:type="gramStart"/>
      <w:r w:rsidRPr="001B788E">
        <w:rPr>
          <w:highlight w:val="lightGray"/>
        </w:rPr>
        <w:t>Recipient</w:t>
      </w:r>
      <w:proofErr w:type="gramEnd"/>
      <w:r>
        <w:t xml:space="preserve"> will maintain records of:</w:t>
      </w:r>
    </w:p>
    <w:p w14:paraId="5C6E8A15" w14:textId="77777777" w:rsidR="00204659" w:rsidRDefault="00204659" w:rsidP="00204659"/>
    <w:p w14:paraId="17B4400B" w14:textId="2D6D6C33" w:rsidR="00204659" w:rsidRPr="004B2AF5" w:rsidRDefault="00204659" w:rsidP="005521DD">
      <w:pPr>
        <w:pStyle w:val="ListParagraph"/>
        <w:numPr>
          <w:ilvl w:val="0"/>
          <w:numId w:val="29"/>
        </w:numPr>
      </w:pPr>
      <w:r>
        <w:t xml:space="preserve">Each discrimination, harassment, and retaliation </w:t>
      </w:r>
      <w:r w:rsidR="0060221B">
        <w:t>resolution process</w:t>
      </w:r>
      <w:r w:rsidR="00A02D01">
        <w:t>,</w:t>
      </w:r>
      <w:r w:rsidR="0060221B">
        <w:t xml:space="preserve"> </w:t>
      </w:r>
      <w:r>
        <w:t xml:space="preserve">including any </w:t>
      </w:r>
      <w:r w:rsidR="00D2711A">
        <w:t>Final D</w:t>
      </w:r>
      <w:r>
        <w:t>etermination regarding responsibility</w:t>
      </w:r>
      <w:r w:rsidR="00D2711A">
        <w:t xml:space="preserve"> or </w:t>
      </w:r>
      <w:r w:rsidR="0060221B">
        <w:t xml:space="preserve">appeal, </w:t>
      </w:r>
      <w:r w:rsidRPr="00ED3CAB">
        <w:t>and any audio or audiovisual recording or transcript required under federal regulation</w:t>
      </w:r>
    </w:p>
    <w:p w14:paraId="7909957F" w14:textId="77777777" w:rsidR="00204659" w:rsidRDefault="00204659" w:rsidP="005521DD">
      <w:pPr>
        <w:pStyle w:val="ListParagraph"/>
        <w:numPr>
          <w:ilvl w:val="0"/>
          <w:numId w:val="29"/>
        </w:numPr>
      </w:pPr>
      <w:r>
        <w:t>Any disciplinary sanctions imposed on the Respondent</w:t>
      </w:r>
    </w:p>
    <w:p w14:paraId="6D49B458" w14:textId="00BC480B" w:rsidR="0060221B" w:rsidRDefault="00204659" w:rsidP="005521DD">
      <w:pPr>
        <w:pStyle w:val="ListParagraph"/>
        <w:numPr>
          <w:ilvl w:val="0"/>
          <w:numId w:val="29"/>
        </w:numPr>
      </w:pPr>
      <w:r>
        <w:t xml:space="preserve">Any </w:t>
      </w:r>
      <w:r w:rsidR="0060221B">
        <w:t xml:space="preserve">supportive measures provided to the </w:t>
      </w:r>
      <w:r w:rsidR="004B2AF5">
        <w:t>P</w:t>
      </w:r>
      <w:r w:rsidR="0060221B">
        <w:t xml:space="preserve">arties and any </w:t>
      </w:r>
      <w:r>
        <w:t xml:space="preserve">remedies provided to the Complainant </w:t>
      </w:r>
      <w:r w:rsidR="0060221B">
        <w:t xml:space="preserve">or the community </w:t>
      </w:r>
      <w:r>
        <w:t xml:space="preserve">designed to restore or preserve equal access to the </w:t>
      </w:r>
      <w:r w:rsidRPr="001B788E">
        <w:rPr>
          <w:highlight w:val="lightGray"/>
        </w:rPr>
        <w:t>Recipient</w:t>
      </w:r>
      <w:r>
        <w:t>’s education program or activity</w:t>
      </w:r>
    </w:p>
    <w:p w14:paraId="7E5F75BE" w14:textId="77777777" w:rsidR="00204659" w:rsidRDefault="00204659" w:rsidP="005521DD">
      <w:pPr>
        <w:pStyle w:val="ListParagraph"/>
        <w:numPr>
          <w:ilvl w:val="0"/>
          <w:numId w:val="29"/>
        </w:numPr>
      </w:pPr>
      <w:r>
        <w:t>Any appeal and the result therefrom</w:t>
      </w:r>
    </w:p>
    <w:p w14:paraId="2F35082A" w14:textId="77777777" w:rsidR="00204659" w:rsidRDefault="00204659" w:rsidP="005521DD">
      <w:pPr>
        <w:pStyle w:val="ListParagraph"/>
        <w:numPr>
          <w:ilvl w:val="0"/>
          <w:numId w:val="29"/>
        </w:numPr>
      </w:pPr>
      <w:r>
        <w:t>Any Informal Resolution and the result therefrom</w:t>
      </w:r>
    </w:p>
    <w:p w14:paraId="5E70A92F" w14:textId="221961AC" w:rsidR="0060221B" w:rsidRDefault="00204659" w:rsidP="005521DD">
      <w:pPr>
        <w:pStyle w:val="ListParagraph"/>
        <w:numPr>
          <w:ilvl w:val="0"/>
          <w:numId w:val="29"/>
        </w:numPr>
      </w:pPr>
      <w:r>
        <w:t xml:space="preserve">All materials used to </w:t>
      </w:r>
      <w:r w:rsidR="0060221B">
        <w:t xml:space="preserve">provide training to the </w:t>
      </w:r>
      <w:r w:rsidR="0060221B" w:rsidRPr="00F539C8">
        <w:rPr>
          <w:highlight w:val="lightGray"/>
        </w:rPr>
        <w:t>Administrator</w:t>
      </w:r>
      <w:r w:rsidR="0060221B">
        <w:t xml:space="preserve">, </w:t>
      </w:r>
      <w:r>
        <w:t>Title IX Coordinator</w:t>
      </w:r>
      <w:r w:rsidR="0060221B">
        <w:t xml:space="preserve"> and </w:t>
      </w:r>
      <w:proofErr w:type="gramStart"/>
      <w:r w:rsidR="0060221B">
        <w:t>designees</w:t>
      </w:r>
      <w:proofErr w:type="gramEnd"/>
      <w:r>
        <w:t>, Investigators, Decision-makers,</w:t>
      </w:r>
      <w:r w:rsidR="0060221B">
        <w:t xml:space="preserve"> Appeal </w:t>
      </w:r>
      <w:r w:rsidR="00D2711A">
        <w:t>D</w:t>
      </w:r>
      <w:r w:rsidR="0060221B">
        <w:t xml:space="preserve">ecision-makers, Informal Resolution </w:t>
      </w:r>
      <w:r w:rsidR="00D2711A">
        <w:t>Facilitator</w:t>
      </w:r>
      <w:r w:rsidR="0060221B">
        <w:t xml:space="preserve">, </w:t>
      </w:r>
      <w:r>
        <w:t xml:space="preserve">and any person </w:t>
      </w:r>
      <w:r w:rsidR="0060221B">
        <w:t xml:space="preserve">who is responsible for implementing the </w:t>
      </w:r>
      <w:r w:rsidR="0060221B" w:rsidRPr="00AF4053">
        <w:rPr>
          <w:highlight w:val="lightGray"/>
        </w:rPr>
        <w:t>Recipient</w:t>
      </w:r>
      <w:r w:rsidR="0060221B">
        <w:t>’</w:t>
      </w:r>
      <w:r w:rsidR="002D2EE8">
        <w:t>s</w:t>
      </w:r>
      <w:r w:rsidR="0060221B">
        <w:t xml:space="preserve"> Resolution Process, or </w:t>
      </w:r>
      <w:r w:rsidR="004B2AF5">
        <w:t xml:space="preserve">who has </w:t>
      </w:r>
      <w:r w:rsidR="0060221B">
        <w:t xml:space="preserve">the authority to modify or terminate supportive </w:t>
      </w:r>
      <w:r w:rsidR="0060221B">
        <w:lastRenderedPageBreak/>
        <w:t xml:space="preserve">measures. </w:t>
      </w:r>
      <w:proofErr w:type="gramStart"/>
      <w:r w:rsidR="004B2AF5" w:rsidRPr="001B788E">
        <w:rPr>
          <w:highlight w:val="lightGray"/>
        </w:rPr>
        <w:t>Recipient</w:t>
      </w:r>
      <w:proofErr w:type="gramEnd"/>
      <w:r w:rsidR="004B2AF5">
        <w:t xml:space="preserve"> will make these training materials available </w:t>
      </w:r>
      <w:r w:rsidR="00D2711A">
        <w:t xml:space="preserve">for review </w:t>
      </w:r>
      <w:r w:rsidR="004B2AF5">
        <w:t>upon request.</w:t>
      </w:r>
    </w:p>
    <w:p w14:paraId="2086FCC4" w14:textId="34210311" w:rsidR="00204659" w:rsidRDefault="0060221B" w:rsidP="005521DD">
      <w:pPr>
        <w:pStyle w:val="ListParagraph"/>
        <w:numPr>
          <w:ilvl w:val="0"/>
          <w:numId w:val="29"/>
        </w:numPr>
      </w:pPr>
      <w:r>
        <w:t>All materials used to train all employees consistent with the requirements in the Title IX Regulations</w:t>
      </w:r>
      <w:r w:rsidR="004472A2">
        <w:t>.</w:t>
      </w:r>
      <w:r>
        <w:t xml:space="preserve"> </w:t>
      </w:r>
    </w:p>
    <w:p w14:paraId="2F33C14F" w14:textId="77777777" w:rsidR="00204659" w:rsidRDefault="00204659" w:rsidP="00204659"/>
    <w:p w14:paraId="6F8BB81B" w14:textId="77777777" w:rsidR="00204659" w:rsidRDefault="00204659" w:rsidP="00204659">
      <w:proofErr w:type="gramStart"/>
      <w:r w:rsidRPr="00C428E7">
        <w:rPr>
          <w:highlight w:val="lightGray"/>
        </w:rPr>
        <w:t>Recipient</w:t>
      </w:r>
      <w:proofErr w:type="gramEnd"/>
      <w:r>
        <w:t xml:space="preserve"> will also maintain </w:t>
      </w:r>
      <w:proofErr w:type="gramStart"/>
      <w:r>
        <w:t>any and all</w:t>
      </w:r>
      <w:proofErr w:type="gramEnd"/>
      <w:r>
        <w:t xml:space="preserve"> records in accordance with state and federal laws.</w:t>
      </w:r>
      <w:r>
        <w:rPr>
          <w:rStyle w:val="FootnoteReference"/>
        </w:rPr>
        <w:footnoteReference w:id="35"/>
      </w:r>
      <w:r>
        <w:t xml:space="preserve">  </w:t>
      </w:r>
    </w:p>
    <w:p w14:paraId="5E22DDCA" w14:textId="77777777" w:rsidR="00204659" w:rsidRPr="001B788E" w:rsidRDefault="00204659" w:rsidP="00204659"/>
    <w:p w14:paraId="7AA3837E" w14:textId="717F68EE" w:rsidR="00204659" w:rsidRDefault="00204659" w:rsidP="00204659">
      <w:pPr>
        <w:pStyle w:val="Heading1"/>
      </w:pPr>
      <w:bookmarkStart w:id="151" w:name="_Toc168477577"/>
      <w:proofErr w:type="gramStart"/>
      <w:r>
        <w:t>Accommodations</w:t>
      </w:r>
      <w:proofErr w:type="gramEnd"/>
      <w:r w:rsidR="0019332C">
        <w:t xml:space="preserve"> and Support</w:t>
      </w:r>
      <w:r>
        <w:t xml:space="preserve"> </w:t>
      </w:r>
      <w:r w:rsidR="005317E2">
        <w:t>D</w:t>
      </w:r>
      <w:r w:rsidR="0019332C">
        <w:t>uring</w:t>
      </w:r>
      <w:r>
        <w:t xml:space="preserve"> the Resolution Process</w:t>
      </w:r>
      <w:bookmarkEnd w:id="151"/>
    </w:p>
    <w:p w14:paraId="6DF8754D" w14:textId="77777777" w:rsidR="00204659" w:rsidRDefault="00204659" w:rsidP="00204659"/>
    <w:p w14:paraId="4CDE44EC" w14:textId="03231140" w:rsidR="0019332C" w:rsidRDefault="0019332C" w:rsidP="00204659">
      <w:pPr>
        <w:rPr>
          <w:u w:val="single"/>
        </w:rPr>
      </w:pPr>
      <w:r w:rsidRPr="00F539C8">
        <w:rPr>
          <w:u w:val="single"/>
        </w:rPr>
        <w:t>Disability Accommodations</w:t>
      </w:r>
    </w:p>
    <w:p w14:paraId="1FAF46CE" w14:textId="77777777" w:rsidR="005317E2" w:rsidRPr="00F539C8" w:rsidRDefault="005317E2" w:rsidP="00204659">
      <w:pPr>
        <w:rPr>
          <w:u w:val="single"/>
        </w:rPr>
      </w:pPr>
    </w:p>
    <w:p w14:paraId="6FB906D4" w14:textId="77777777" w:rsidR="00204659" w:rsidRDefault="00204659" w:rsidP="00204659">
      <w:proofErr w:type="gramStart"/>
      <w:r w:rsidRPr="00B46037">
        <w:rPr>
          <w:highlight w:val="lightGray"/>
        </w:rPr>
        <w:t>Recipient</w:t>
      </w:r>
      <w:proofErr w:type="gramEnd"/>
      <w:r>
        <w:t xml:space="preserve"> is committed to providing reasonable accommodations and support to qualified students, employees, or others with disabilities to ensure equal access to the </w:t>
      </w:r>
      <w:r w:rsidRPr="00B46037">
        <w:rPr>
          <w:highlight w:val="lightGray"/>
        </w:rPr>
        <w:t>Recipient</w:t>
      </w:r>
      <w:r>
        <w:t xml:space="preserve">’s Resolution Process. </w:t>
      </w:r>
    </w:p>
    <w:p w14:paraId="2847D699" w14:textId="77777777" w:rsidR="00204659" w:rsidRDefault="00204659" w:rsidP="00204659"/>
    <w:p w14:paraId="67006E7E" w14:textId="429D7E34" w:rsidR="00204659" w:rsidRDefault="00204659" w:rsidP="00204659">
      <w:r>
        <w:t xml:space="preserve">Anyone needing such </w:t>
      </w:r>
      <w:proofErr w:type="gramStart"/>
      <w:r>
        <w:t>accommodations</w:t>
      </w:r>
      <w:proofErr w:type="gramEnd"/>
      <w:r>
        <w:t xml:space="preserve"> or support should contact the </w:t>
      </w:r>
      <w:r w:rsidR="005317E2" w:rsidRPr="001D7EBC">
        <w:rPr>
          <w:highlight w:val="lightGray"/>
        </w:rPr>
        <w:t>Administrator</w:t>
      </w:r>
      <w:r w:rsidR="005317E2" w:rsidRPr="00AF4053">
        <w:t xml:space="preserve">, </w:t>
      </w:r>
      <w:r w:rsidR="005317E2" w:rsidRPr="00ED3CAB">
        <w:t xml:space="preserve">who will work with disability support colleagues as appropriate </w:t>
      </w:r>
      <w:r w:rsidR="005317E2" w:rsidRPr="005317E2">
        <w:t>to</w:t>
      </w:r>
      <w:r w:rsidR="005317E2">
        <w:t xml:space="preserve"> </w:t>
      </w:r>
      <w:r>
        <w:t xml:space="preserve">review the request and, in consultation with the person requesting the accommodation, determine which accommodations are appropriate and necessary for full </w:t>
      </w:r>
      <w:r w:rsidR="00D2711A">
        <w:t xml:space="preserve">process </w:t>
      </w:r>
      <w:r>
        <w:t>participation.</w:t>
      </w:r>
    </w:p>
    <w:p w14:paraId="1DB2764A" w14:textId="77777777" w:rsidR="00515E36" w:rsidRDefault="00515E36" w:rsidP="00F8152E"/>
    <w:p w14:paraId="06C63130" w14:textId="681244DD" w:rsidR="0019332C" w:rsidRDefault="0019332C" w:rsidP="00AF3A31">
      <w:pPr>
        <w:rPr>
          <w:u w:val="single"/>
        </w:rPr>
      </w:pPr>
      <w:r w:rsidRPr="00F539C8">
        <w:rPr>
          <w:u w:val="single"/>
        </w:rPr>
        <w:t>Other Support</w:t>
      </w:r>
    </w:p>
    <w:p w14:paraId="25592D55" w14:textId="77777777" w:rsidR="005317E2" w:rsidRDefault="005317E2" w:rsidP="00AF3A31"/>
    <w:p w14:paraId="7A4C9C20" w14:textId="739A93CC" w:rsidR="0019332C" w:rsidRDefault="0019332C" w:rsidP="001417E2">
      <w:r w:rsidRPr="00AF4053">
        <w:rPr>
          <w:highlight w:val="lightGray"/>
        </w:rPr>
        <w:t>Recipient</w:t>
      </w:r>
      <w:r>
        <w:t xml:space="preserve"> will also </w:t>
      </w:r>
      <w:r w:rsidR="005317E2">
        <w:t xml:space="preserve">address </w:t>
      </w:r>
      <w:r>
        <w:t xml:space="preserve">reasonable requests for support for the </w:t>
      </w:r>
      <w:r w:rsidR="0028631C">
        <w:t>Parties</w:t>
      </w:r>
      <w:r>
        <w:t xml:space="preserve"> and witnesses, including:</w:t>
      </w:r>
    </w:p>
    <w:p w14:paraId="6590D69F" w14:textId="77777777" w:rsidR="00F81983" w:rsidRDefault="00F81983" w:rsidP="001417E2"/>
    <w:p w14:paraId="50A524CD" w14:textId="36B8407F" w:rsidR="0019332C" w:rsidRDefault="0019332C" w:rsidP="005521DD">
      <w:pPr>
        <w:pStyle w:val="ListParagraph"/>
        <w:numPr>
          <w:ilvl w:val="0"/>
          <w:numId w:val="46"/>
        </w:numPr>
      </w:pPr>
      <w:r>
        <w:t>Language services/Interpreters</w:t>
      </w:r>
    </w:p>
    <w:p w14:paraId="783D5EB8" w14:textId="297619FB" w:rsidR="0019332C" w:rsidRDefault="0019332C" w:rsidP="005521DD">
      <w:pPr>
        <w:pStyle w:val="ListParagraph"/>
        <w:numPr>
          <w:ilvl w:val="0"/>
          <w:numId w:val="46"/>
        </w:numPr>
      </w:pPr>
      <w:r>
        <w:t>Access and training regarding use of technology throughout the Resolution Process</w:t>
      </w:r>
    </w:p>
    <w:p w14:paraId="3F8A1733" w14:textId="413F9928" w:rsidR="00B401B2" w:rsidRDefault="00B401B2" w:rsidP="005521DD">
      <w:pPr>
        <w:pStyle w:val="ListParagraph"/>
        <w:numPr>
          <w:ilvl w:val="0"/>
          <w:numId w:val="46"/>
        </w:numPr>
      </w:pPr>
      <w:r>
        <w:t>Other support as deemed reasonable and necessary to facilitate participation in the Resolution Process</w:t>
      </w:r>
    </w:p>
    <w:p w14:paraId="01719E75" w14:textId="5162C4A9" w:rsidR="00447DC3" w:rsidRDefault="00447DC3" w:rsidP="00AF3A31"/>
    <w:p w14:paraId="5C92AC32" w14:textId="181D0FCF" w:rsidR="004D69DA" w:rsidRDefault="004D69DA" w:rsidP="004D69DA">
      <w:pPr>
        <w:pStyle w:val="Heading1"/>
      </w:pPr>
      <w:bookmarkStart w:id="152" w:name="_Toc168477578"/>
      <w:r>
        <w:t xml:space="preserve">Revision of </w:t>
      </w:r>
      <w:r w:rsidDel="007C2E21">
        <w:t>t</w:t>
      </w:r>
      <w:r>
        <w:t>hese Procedures</w:t>
      </w:r>
      <w:bookmarkEnd w:id="152"/>
      <w:r>
        <w:t xml:space="preserve"> </w:t>
      </w:r>
    </w:p>
    <w:p w14:paraId="01E4D009" w14:textId="77777777" w:rsidR="004D69DA" w:rsidRDefault="004D69DA" w:rsidP="004D69DA">
      <w:pPr>
        <w:rPr>
          <w:rFonts w:cs="Calibri"/>
          <w:b/>
          <w:bCs/>
          <w:u w:val="single"/>
        </w:rPr>
      </w:pPr>
    </w:p>
    <w:p w14:paraId="420DA2E4" w14:textId="415216EB" w:rsidR="004D69DA" w:rsidRPr="00B46037" w:rsidRDefault="004D69DA" w:rsidP="004D69DA">
      <w:pPr>
        <w:rPr>
          <w:rFonts w:cs="Calibri"/>
        </w:rPr>
      </w:pPr>
      <w:r>
        <w:rPr>
          <w:rFonts w:cs="Calibri"/>
        </w:rPr>
        <w:t>These procedures</w:t>
      </w:r>
      <w:r w:rsidRPr="00B46037">
        <w:rPr>
          <w:rFonts w:cs="Calibri"/>
        </w:rPr>
        <w:t xml:space="preserve"> </w:t>
      </w:r>
      <w:proofErr w:type="gramStart"/>
      <w:r w:rsidR="005317E2" w:rsidRPr="00B46037">
        <w:rPr>
          <w:rFonts w:cs="Calibri"/>
        </w:rPr>
        <w:t>su</w:t>
      </w:r>
      <w:r w:rsidR="005317E2">
        <w:rPr>
          <w:rFonts w:cs="Calibri"/>
        </w:rPr>
        <w:t>cceed</w:t>
      </w:r>
      <w:proofErr w:type="gramEnd"/>
      <w:r w:rsidR="005317E2" w:rsidRPr="00B46037">
        <w:rPr>
          <w:rFonts w:cs="Calibri"/>
        </w:rPr>
        <w:t xml:space="preserve"> </w:t>
      </w:r>
      <w:r w:rsidRPr="00B46037">
        <w:rPr>
          <w:rFonts w:cs="Calibri"/>
        </w:rPr>
        <w:t xml:space="preserve">any previous </w:t>
      </w:r>
      <w:r>
        <w:rPr>
          <w:rFonts w:cs="Calibri"/>
        </w:rPr>
        <w:t>procedures</w:t>
      </w:r>
      <w:r w:rsidRPr="00B46037">
        <w:rPr>
          <w:rFonts w:cs="Calibri"/>
        </w:rPr>
        <w:t xml:space="preserve"> addressing </w:t>
      </w:r>
      <w:r w:rsidR="005E3907">
        <w:rPr>
          <w:rFonts w:cs="Calibri"/>
        </w:rPr>
        <w:t>discrimination,</w:t>
      </w:r>
      <w:r w:rsidR="00BC4B10">
        <w:rPr>
          <w:rFonts w:cs="Calibri"/>
        </w:rPr>
        <w:t xml:space="preserve"> </w:t>
      </w:r>
      <w:r w:rsidRPr="00B46037">
        <w:rPr>
          <w:rFonts w:cs="Calibri"/>
        </w:rPr>
        <w:t>harassment</w:t>
      </w:r>
      <w:r w:rsidR="005E3907">
        <w:rPr>
          <w:rFonts w:cs="Calibri"/>
        </w:rPr>
        <w:t>, and retaliation</w:t>
      </w:r>
      <w:r w:rsidR="00BC4B10">
        <w:rPr>
          <w:rFonts w:cs="Calibri"/>
        </w:rPr>
        <w:t xml:space="preserve"> </w:t>
      </w:r>
      <w:r w:rsidRPr="00B46037">
        <w:rPr>
          <w:rFonts w:cs="Calibri"/>
        </w:rPr>
        <w:t xml:space="preserve">for incidents occurring on or after </w:t>
      </w:r>
      <w:r w:rsidR="00473751">
        <w:rPr>
          <w:rFonts w:cs="Calibri"/>
        </w:rPr>
        <w:t>August</w:t>
      </w:r>
      <w:r w:rsidR="00BC4B10" w:rsidRPr="00720D3D">
        <w:rPr>
          <w:rFonts w:cs="Calibri"/>
        </w:rPr>
        <w:t xml:space="preserve"> </w:t>
      </w:r>
      <w:r w:rsidRPr="00720D3D">
        <w:rPr>
          <w:rFonts w:cs="Calibri"/>
        </w:rPr>
        <w:t>1, 202</w:t>
      </w:r>
      <w:r w:rsidRPr="0006108F">
        <w:rPr>
          <w:rFonts w:cs="Calibri"/>
        </w:rPr>
        <w:t>4</w:t>
      </w:r>
      <w:r w:rsidR="002C4A5F">
        <w:rPr>
          <w:rFonts w:cs="Calibri"/>
        </w:rPr>
        <w:t xml:space="preserve">. The </w:t>
      </w:r>
      <w:r w:rsidR="002C4A5F" w:rsidRPr="003E515C">
        <w:rPr>
          <w:rFonts w:cs="Calibri"/>
          <w:highlight w:val="lightGray"/>
        </w:rPr>
        <w:t>Administrator</w:t>
      </w:r>
      <w:r w:rsidR="002C4A5F" w:rsidRPr="00B46037">
        <w:rPr>
          <w:rFonts w:cs="Calibri"/>
        </w:rPr>
        <w:t xml:space="preserve"> </w:t>
      </w:r>
      <w:r w:rsidRPr="00B46037">
        <w:rPr>
          <w:rFonts w:cs="Calibri"/>
        </w:rPr>
        <w:t xml:space="preserve">will </w:t>
      </w:r>
      <w:r w:rsidR="002C4A5F">
        <w:rPr>
          <w:rFonts w:cs="Calibri"/>
        </w:rPr>
        <w:t>regularly review and update these procedures</w:t>
      </w:r>
      <w:r w:rsidRPr="00B46037">
        <w:rPr>
          <w:rFonts w:cs="Calibri"/>
        </w:rPr>
        <w:t xml:space="preserve">. The </w:t>
      </w:r>
      <w:r w:rsidRPr="00B46037">
        <w:rPr>
          <w:rFonts w:cs="Calibri"/>
          <w:highlight w:val="lightGray"/>
        </w:rPr>
        <w:t>Recipient</w:t>
      </w:r>
      <w:r w:rsidRPr="00B46037">
        <w:rPr>
          <w:rFonts w:cs="Calibri"/>
        </w:rPr>
        <w:t xml:space="preserve"> reserves the right to make changes to this document as necessary, and once those changes are posted online, they are in effect. </w:t>
      </w:r>
    </w:p>
    <w:p w14:paraId="202ED275" w14:textId="77777777" w:rsidR="004D69DA" w:rsidRPr="00B46037" w:rsidRDefault="004D69DA" w:rsidP="004D69DA">
      <w:pPr>
        <w:rPr>
          <w:rFonts w:cs="Calibri"/>
        </w:rPr>
      </w:pPr>
    </w:p>
    <w:p w14:paraId="3F4CA3E0" w14:textId="510FE5D6" w:rsidR="004D69DA" w:rsidRPr="00B46037" w:rsidRDefault="004D69DA" w:rsidP="004D69DA">
      <w:pPr>
        <w:rPr>
          <w:rFonts w:cs="Calibri"/>
        </w:rPr>
      </w:pPr>
      <w:r w:rsidRPr="00B46037">
        <w:rPr>
          <w:rFonts w:cs="Calibri"/>
        </w:rPr>
        <w:t>If govern</w:t>
      </w:r>
      <w:r w:rsidR="00BB750B">
        <w:rPr>
          <w:rFonts w:cs="Calibri"/>
        </w:rPr>
        <w:t>ing</w:t>
      </w:r>
      <w:r w:rsidRPr="00B46037">
        <w:rPr>
          <w:rFonts w:cs="Calibri"/>
        </w:rPr>
        <w:t xml:space="preserve"> laws or regulations change</w:t>
      </w:r>
      <w:r w:rsidR="005E269C">
        <w:rPr>
          <w:rFonts w:cs="Calibri"/>
        </w:rPr>
        <w:t xml:space="preserve">, </w:t>
      </w:r>
      <w:r w:rsidRPr="00B46037">
        <w:rPr>
          <w:rFonts w:cs="Calibri"/>
        </w:rPr>
        <w:t xml:space="preserve">or court decisions </w:t>
      </w:r>
      <w:proofErr w:type="gramStart"/>
      <w:r w:rsidRPr="00B46037">
        <w:rPr>
          <w:rFonts w:cs="Calibri"/>
        </w:rPr>
        <w:t>alter</w:t>
      </w:r>
      <w:r w:rsidR="005E269C">
        <w:rPr>
          <w:rFonts w:cs="Calibri"/>
        </w:rPr>
        <w:t>,</w:t>
      </w:r>
      <w:proofErr w:type="gramEnd"/>
      <w:r>
        <w:rPr>
          <w:rFonts w:cs="Calibri"/>
        </w:rPr>
        <w:t xml:space="preserve"> </w:t>
      </w:r>
      <w:r w:rsidRPr="00B46037">
        <w:rPr>
          <w:rFonts w:cs="Calibri"/>
        </w:rPr>
        <w:t>the requirements in a way that impacts this document, this document will be construed to comply with the most recent govern</w:t>
      </w:r>
      <w:r w:rsidR="00BB750B">
        <w:rPr>
          <w:rFonts w:cs="Calibri"/>
        </w:rPr>
        <w:t>ing</w:t>
      </w:r>
      <w:r w:rsidRPr="00B46037">
        <w:rPr>
          <w:rFonts w:cs="Calibri"/>
        </w:rPr>
        <w:t xml:space="preserve"> laws or regulations or court holdings. </w:t>
      </w:r>
    </w:p>
    <w:p w14:paraId="7A37AC40" w14:textId="77777777" w:rsidR="004D69DA" w:rsidRPr="00B46037" w:rsidRDefault="004D69DA" w:rsidP="004D69DA">
      <w:pPr>
        <w:rPr>
          <w:rFonts w:cs="Calibri"/>
        </w:rPr>
      </w:pPr>
    </w:p>
    <w:p w14:paraId="44D81853" w14:textId="69F12AD1" w:rsidR="004D69DA" w:rsidRDefault="004D69DA" w:rsidP="004D69DA">
      <w:pPr>
        <w:rPr>
          <w:rFonts w:cs="Calibri"/>
        </w:rPr>
      </w:pPr>
      <w:r w:rsidRPr="00B46037">
        <w:rPr>
          <w:rFonts w:cs="Calibri"/>
        </w:rPr>
        <w:lastRenderedPageBreak/>
        <w:t xml:space="preserve">This document does not create legally enforceable protections beyond the </w:t>
      </w:r>
      <w:proofErr w:type="gramStart"/>
      <w:r w:rsidRPr="00B46037">
        <w:rPr>
          <w:rFonts w:cs="Calibri"/>
        </w:rPr>
        <w:t>protections</w:t>
      </w:r>
      <w:proofErr w:type="gramEnd"/>
      <w:r w:rsidRPr="00B46037">
        <w:rPr>
          <w:rFonts w:cs="Calibri"/>
        </w:rPr>
        <w:t xml:space="preserve"> of the background state and federal laws </w:t>
      </w:r>
      <w:r w:rsidR="005E269C">
        <w:rPr>
          <w:rFonts w:cs="Calibri"/>
        </w:rPr>
        <w:t>that</w:t>
      </w:r>
      <w:r w:rsidR="005E269C" w:rsidRPr="00B46037">
        <w:rPr>
          <w:rFonts w:cs="Calibri"/>
        </w:rPr>
        <w:t xml:space="preserve"> </w:t>
      </w:r>
      <w:r w:rsidRPr="00B46037">
        <w:rPr>
          <w:rFonts w:cs="Calibri"/>
        </w:rPr>
        <w:t>frame such policies and codes, generally.</w:t>
      </w:r>
    </w:p>
    <w:p w14:paraId="3129F268" w14:textId="77777777" w:rsidR="004D69DA" w:rsidRPr="00B46037" w:rsidRDefault="004D69DA" w:rsidP="004D69DA">
      <w:pPr>
        <w:rPr>
          <w:rFonts w:cs="Calibri"/>
        </w:rPr>
      </w:pPr>
      <w:r w:rsidRPr="00B46037">
        <w:rPr>
          <w:rFonts w:cs="Calibri"/>
        </w:rPr>
        <w:tab/>
      </w:r>
    </w:p>
    <w:p w14:paraId="314559D9" w14:textId="0DF2836C" w:rsidR="00901191" w:rsidRDefault="004D69DA" w:rsidP="004D69DA">
      <w:pPr>
        <w:rPr>
          <w:rFonts w:cs="Calibri"/>
        </w:rPr>
      </w:pPr>
      <w:r>
        <w:rPr>
          <w:rFonts w:cs="Calibri"/>
        </w:rPr>
        <w:t>These procedures are</w:t>
      </w:r>
      <w:r w:rsidR="0023151C">
        <w:rPr>
          <w:rFonts w:cs="Calibri"/>
        </w:rPr>
        <w:t xml:space="preserve"> </w:t>
      </w:r>
      <w:r w:rsidRPr="00B46037">
        <w:rPr>
          <w:rFonts w:cs="Calibri"/>
        </w:rPr>
        <w:t>effective</w:t>
      </w:r>
      <w:r>
        <w:rPr>
          <w:rFonts w:cs="Calibri"/>
        </w:rPr>
        <w:t xml:space="preserve"> </w:t>
      </w:r>
      <w:r w:rsidRPr="00041DED">
        <w:rPr>
          <w:rFonts w:cs="Calibri"/>
          <w:highlight w:val="lightGray"/>
        </w:rPr>
        <w:t>&lt;&lt;date&gt;&gt;</w:t>
      </w:r>
      <w:r>
        <w:rPr>
          <w:rFonts w:cs="Calibri"/>
        </w:rPr>
        <w:t>.</w:t>
      </w:r>
    </w:p>
    <w:p w14:paraId="2BA882B4" w14:textId="77777777" w:rsidR="00901191" w:rsidRDefault="00901191">
      <w:pPr>
        <w:spacing w:after="160" w:line="259" w:lineRule="auto"/>
        <w:rPr>
          <w:rFonts w:cs="Calibri"/>
        </w:rPr>
      </w:pPr>
      <w:r>
        <w:rPr>
          <w:rFonts w:cs="Calibri"/>
        </w:rPr>
        <w:br w:type="page"/>
      </w:r>
    </w:p>
    <w:p w14:paraId="491E509D" w14:textId="77777777" w:rsidR="00901191" w:rsidRDefault="00901191" w:rsidP="00901191">
      <w:pPr>
        <w:pStyle w:val="Heading1"/>
        <w:numPr>
          <w:ilvl w:val="0"/>
          <w:numId w:val="0"/>
        </w:numPr>
        <w:ind w:left="360" w:hanging="360"/>
        <w:jc w:val="center"/>
      </w:pPr>
      <w:bookmarkStart w:id="153" w:name="_Toc168477579"/>
      <w:r>
        <w:lastRenderedPageBreak/>
        <w:t>APPENDIX A: DEFINITIONS</w:t>
      </w:r>
      <w:bookmarkEnd w:id="153"/>
    </w:p>
    <w:p w14:paraId="2B076257" w14:textId="77777777" w:rsidR="00901191" w:rsidRDefault="00901191" w:rsidP="00901191">
      <w:pPr>
        <w:pStyle w:val="Heading1"/>
        <w:numPr>
          <w:ilvl w:val="0"/>
          <w:numId w:val="0"/>
        </w:numPr>
        <w:ind w:left="360" w:hanging="360"/>
        <w:jc w:val="center"/>
      </w:pPr>
    </w:p>
    <w:p w14:paraId="55546C23" w14:textId="77777777" w:rsidR="00901191" w:rsidRPr="004A1A46" w:rsidRDefault="00901191" w:rsidP="00066AC0">
      <w:r>
        <w:t xml:space="preserve">The following definitions apply to the </w:t>
      </w:r>
      <w:r w:rsidRPr="009F4ABE">
        <w:rPr>
          <w:highlight w:val="lightGray"/>
        </w:rPr>
        <w:t>&lt;&lt;Nondiscrimination Policies and Procedures&gt;&gt;:</w:t>
      </w:r>
      <w:r>
        <w:br/>
      </w:r>
    </w:p>
    <w:p w14:paraId="22C54DF6" w14:textId="77777777" w:rsidR="00901191" w:rsidRDefault="00901191" w:rsidP="00901191">
      <w:pPr>
        <w:pStyle w:val="ListParagraph"/>
        <w:numPr>
          <w:ilvl w:val="0"/>
          <w:numId w:val="65"/>
        </w:numPr>
        <w:spacing w:after="160"/>
        <w:rPr>
          <w:rFonts w:cs="Calibri"/>
        </w:rPr>
      </w:pPr>
      <w:r w:rsidRPr="00A849D5">
        <w:rPr>
          <w:rFonts w:cs="Calibri"/>
          <w:b/>
          <w:bCs/>
          <w:i/>
          <w:iCs/>
        </w:rPr>
        <w:t>Advisor.</w:t>
      </w:r>
      <w:r w:rsidRPr="00A849D5">
        <w:rPr>
          <w:rFonts w:cs="Calibri"/>
        </w:rPr>
        <w:t xml:space="preserve"> A</w:t>
      </w:r>
      <w:r>
        <w:rPr>
          <w:rFonts w:cs="Calibri"/>
        </w:rPr>
        <w:t>ny</w:t>
      </w:r>
      <w:r w:rsidRPr="00A849D5">
        <w:rPr>
          <w:rFonts w:cs="Calibri"/>
        </w:rPr>
        <w:t xml:space="preserve"> </w:t>
      </w:r>
      <w:r>
        <w:rPr>
          <w:rFonts w:cs="Calibri"/>
        </w:rPr>
        <w:t>person</w:t>
      </w:r>
      <w:r w:rsidRPr="00A849D5">
        <w:rPr>
          <w:rFonts w:cs="Calibri"/>
        </w:rPr>
        <w:t xml:space="preserve"> chosen by a party, or appointed by the institution, </w:t>
      </w:r>
      <w:r>
        <w:rPr>
          <w:rFonts w:cs="Calibri"/>
        </w:rPr>
        <w:t>who may</w:t>
      </w:r>
      <w:r w:rsidRPr="00A849D5">
        <w:rPr>
          <w:rFonts w:cs="Calibri"/>
        </w:rPr>
        <w:t xml:space="preserve"> accompany the party to </w:t>
      </w:r>
      <w:r>
        <w:rPr>
          <w:rFonts w:cs="Calibri"/>
        </w:rPr>
        <w:t xml:space="preserve">all </w:t>
      </w:r>
      <w:r w:rsidRPr="00A849D5">
        <w:rPr>
          <w:rFonts w:cs="Calibri"/>
        </w:rPr>
        <w:t xml:space="preserve">meetings related to the Resolution Process </w:t>
      </w:r>
      <w:r>
        <w:rPr>
          <w:rFonts w:cs="Calibri"/>
        </w:rPr>
        <w:t xml:space="preserve">and </w:t>
      </w:r>
      <w:r w:rsidRPr="00A849D5">
        <w:rPr>
          <w:rFonts w:cs="Calibri"/>
        </w:rPr>
        <w:t>advise the party on that process.</w:t>
      </w:r>
      <w:r>
        <w:rPr>
          <w:rFonts w:cs="Calibri"/>
        </w:rPr>
        <w:t xml:space="preserve"> </w:t>
      </w:r>
    </w:p>
    <w:p w14:paraId="064CA8A4" w14:textId="77777777" w:rsidR="00901191" w:rsidRDefault="00901191" w:rsidP="00901191">
      <w:pPr>
        <w:pStyle w:val="ListParagraph"/>
        <w:spacing w:after="160"/>
        <w:rPr>
          <w:rFonts w:cs="Calibri"/>
        </w:rPr>
      </w:pPr>
    </w:p>
    <w:p w14:paraId="45EE5FFD" w14:textId="77777777" w:rsidR="00901191" w:rsidRPr="00A849D5" w:rsidRDefault="00901191" w:rsidP="00901191">
      <w:pPr>
        <w:pStyle w:val="ListParagraph"/>
        <w:numPr>
          <w:ilvl w:val="0"/>
          <w:numId w:val="65"/>
        </w:numPr>
        <w:spacing w:after="160"/>
        <w:rPr>
          <w:rFonts w:cs="Calibri"/>
        </w:rPr>
      </w:pPr>
      <w:r w:rsidRPr="005244F9">
        <w:rPr>
          <w:rFonts w:cs="Calibri"/>
          <w:b/>
          <w:bCs/>
          <w:i/>
          <w:iCs/>
          <w:highlight w:val="lightGray"/>
        </w:rPr>
        <w:t>Administrator</w:t>
      </w:r>
      <w:r>
        <w:rPr>
          <w:rFonts w:cs="Calibri"/>
          <w:b/>
          <w:bCs/>
          <w:i/>
          <w:iCs/>
        </w:rPr>
        <w:t>.</w:t>
      </w:r>
      <w:r>
        <w:rPr>
          <w:rFonts w:cs="Calibri"/>
        </w:rPr>
        <w:t xml:space="preserve"> The person with primary responsibility for overseeing and enforcing the </w:t>
      </w:r>
      <w:r w:rsidRPr="009F4ABE">
        <w:rPr>
          <w:rFonts w:cs="Calibri"/>
          <w:highlight w:val="lightGray"/>
        </w:rPr>
        <w:t>&lt;&lt;Nondiscrimination Policy and Procedures&gt;&gt;</w:t>
      </w:r>
      <w:r>
        <w:rPr>
          <w:rFonts w:cs="Calibri"/>
        </w:rPr>
        <w:t>. As used in these policies and procedures, the “</w:t>
      </w:r>
      <w:r w:rsidRPr="005244F9">
        <w:rPr>
          <w:rFonts w:cs="Calibri"/>
          <w:highlight w:val="lightGray"/>
        </w:rPr>
        <w:t>Administrator</w:t>
      </w:r>
      <w:r>
        <w:rPr>
          <w:rFonts w:cs="Calibri"/>
        </w:rPr>
        <w:t xml:space="preserve">” also includes their designee(s). </w:t>
      </w:r>
      <w:r>
        <w:rPr>
          <w:rFonts w:cs="Calibri"/>
        </w:rPr>
        <w:br/>
      </w:r>
    </w:p>
    <w:p w14:paraId="64E54087" w14:textId="77777777" w:rsidR="00901191" w:rsidRPr="00E01283" w:rsidRDefault="00901191" w:rsidP="00901191">
      <w:pPr>
        <w:pStyle w:val="ListParagraph"/>
        <w:numPr>
          <w:ilvl w:val="0"/>
          <w:numId w:val="65"/>
        </w:numPr>
        <w:spacing w:after="160"/>
        <w:contextualSpacing w:val="0"/>
        <w:rPr>
          <w:rFonts w:cs="Calibri"/>
        </w:rPr>
      </w:pPr>
      <w:r w:rsidRPr="00E01283">
        <w:rPr>
          <w:rFonts w:cs="Calibri"/>
          <w:b/>
          <w:bCs/>
          <w:i/>
          <w:iCs/>
        </w:rPr>
        <w:t>Appeal 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who accepts or rejects a submitted appeal </w:t>
      </w:r>
      <w:proofErr w:type="gramStart"/>
      <w:r w:rsidRPr="00E01283">
        <w:rPr>
          <w:rFonts w:cs="Calibri"/>
        </w:rPr>
        <w:t>request,</w:t>
      </w:r>
      <w:proofErr w:type="gramEnd"/>
      <w:r w:rsidRPr="00E01283">
        <w:rPr>
          <w:rFonts w:cs="Calibri"/>
        </w:rPr>
        <w:t xml:space="preserve"> determines whether </w:t>
      </w:r>
      <w:r>
        <w:rPr>
          <w:rFonts w:cs="Calibri"/>
        </w:rPr>
        <w:t>any of the grounds for appeal are met</w:t>
      </w:r>
      <w:r w:rsidRPr="00E01283">
        <w:rPr>
          <w:rFonts w:cs="Calibri"/>
        </w:rPr>
        <w:t xml:space="preserve">, and directs </w:t>
      </w:r>
      <w:r>
        <w:rPr>
          <w:rFonts w:cs="Calibri"/>
        </w:rPr>
        <w:t>responsive</w:t>
      </w:r>
      <w:r w:rsidRPr="00E01283">
        <w:rPr>
          <w:rFonts w:cs="Calibri"/>
        </w:rPr>
        <w:t xml:space="preserve"> action</w:t>
      </w:r>
      <w:r>
        <w:rPr>
          <w:rFonts w:cs="Calibri"/>
        </w:rPr>
        <w:t>(s)</w:t>
      </w:r>
      <w:r w:rsidRPr="00E01283">
        <w:rPr>
          <w:rFonts w:cs="Calibri"/>
        </w:rPr>
        <w:t xml:space="preserve">, accordingly. </w:t>
      </w:r>
    </w:p>
    <w:p w14:paraId="49E97028" w14:textId="77777777" w:rsidR="00901191" w:rsidRDefault="00901191" w:rsidP="00901191">
      <w:pPr>
        <w:pStyle w:val="ListParagraph"/>
        <w:numPr>
          <w:ilvl w:val="0"/>
          <w:numId w:val="65"/>
        </w:numPr>
      </w:pPr>
      <w:r w:rsidRPr="00790FBA">
        <w:rPr>
          <w:rFonts w:cs="Calibri"/>
          <w:b/>
          <w:bCs/>
          <w:i/>
          <w:iCs/>
        </w:rPr>
        <w:t>Complainant.</w:t>
      </w:r>
      <w:r w:rsidRPr="00790FBA">
        <w:rPr>
          <w:rFonts w:cs="Calibri"/>
          <w:i/>
          <w:iCs/>
        </w:rPr>
        <w:t xml:space="preserve"> </w:t>
      </w:r>
      <w:r>
        <w:t xml:space="preserve">A student or employee who is alleged to have been subjected to conduct that could constitute discrimination, harassment, or retaliation under the Policy; or a person other than a student or employee who is alleged to have been subjected to conduct that could constitute discrimination or harassment or under the Policy and who was participating or attempting to participate in the </w:t>
      </w:r>
      <w:r>
        <w:rPr>
          <w:highlight w:val="lightGray"/>
        </w:rPr>
        <w:t>R</w:t>
      </w:r>
      <w:r w:rsidRPr="00632891">
        <w:rPr>
          <w:highlight w:val="lightGray"/>
        </w:rPr>
        <w:t>ecipient</w:t>
      </w:r>
      <w:r>
        <w:t>’s education program or activity at the time of the alleged discrimination, harassment or retaliation.</w:t>
      </w:r>
    </w:p>
    <w:p w14:paraId="1B8084B4" w14:textId="77777777" w:rsidR="00901191" w:rsidRDefault="00901191" w:rsidP="00901191"/>
    <w:p w14:paraId="2C6F9C86" w14:textId="77777777" w:rsidR="00901191" w:rsidRPr="0026035B" w:rsidRDefault="00901191" w:rsidP="00901191">
      <w:pPr>
        <w:pStyle w:val="ListParagraph"/>
        <w:numPr>
          <w:ilvl w:val="0"/>
          <w:numId w:val="65"/>
        </w:numPr>
        <w:spacing w:after="160"/>
        <w:contextualSpacing w:val="0"/>
        <w:rPr>
          <w:rFonts w:cs="Calibri"/>
          <w:strike/>
        </w:rPr>
      </w:pPr>
      <w:r>
        <w:rPr>
          <w:rFonts w:cs="Calibri"/>
          <w:b/>
          <w:bCs/>
          <w:i/>
          <w:iCs/>
        </w:rPr>
        <w:t>Complaint.</w:t>
      </w:r>
      <w:r>
        <w:rPr>
          <w:rFonts w:cs="Calibri"/>
          <w:b/>
          <w:bCs/>
        </w:rPr>
        <w:t xml:space="preserve"> </w:t>
      </w:r>
      <w:r w:rsidRPr="000D56C5">
        <w:rPr>
          <w:rFonts w:cs="Calibri"/>
        </w:rPr>
        <w:t>A</w:t>
      </w:r>
      <w:r>
        <w:rPr>
          <w:rFonts w:cs="Calibri"/>
        </w:rPr>
        <w:t xml:space="preserve">n oral </w:t>
      </w:r>
      <w:r w:rsidRPr="000D56C5">
        <w:rPr>
          <w:rFonts w:cs="Calibri"/>
        </w:rPr>
        <w:t xml:space="preserve">or written request to the </w:t>
      </w:r>
      <w:r w:rsidRPr="000D56C5">
        <w:rPr>
          <w:rFonts w:cs="Calibri"/>
          <w:highlight w:val="lightGray"/>
        </w:rPr>
        <w:t>Recipient</w:t>
      </w:r>
      <w:r w:rsidRPr="000D56C5">
        <w:rPr>
          <w:rFonts w:cs="Calibri"/>
        </w:rPr>
        <w:t xml:space="preserve"> t</w:t>
      </w:r>
      <w:r>
        <w:rPr>
          <w:rFonts w:cs="Calibri"/>
        </w:rPr>
        <w:t xml:space="preserve">hat can objectively be understood as a request for the </w:t>
      </w:r>
      <w:r w:rsidRPr="000D56C5">
        <w:rPr>
          <w:rFonts w:cs="Calibri"/>
          <w:highlight w:val="lightGray"/>
        </w:rPr>
        <w:t>Recipient</w:t>
      </w:r>
      <w:r w:rsidRPr="000D56C5">
        <w:rPr>
          <w:rFonts w:cs="Calibri"/>
        </w:rPr>
        <w:t xml:space="preserve"> </w:t>
      </w:r>
      <w:r>
        <w:rPr>
          <w:rFonts w:cs="Calibri"/>
        </w:rPr>
        <w:t>t</w:t>
      </w:r>
      <w:r w:rsidRPr="000D56C5">
        <w:rPr>
          <w:rFonts w:cs="Calibri"/>
        </w:rPr>
        <w:t xml:space="preserve">o </w:t>
      </w:r>
      <w:r>
        <w:rPr>
          <w:rFonts w:cs="Calibri"/>
        </w:rPr>
        <w:t xml:space="preserve">investigate and </w:t>
      </w:r>
      <w:proofErr w:type="gramStart"/>
      <w:r>
        <w:rPr>
          <w:rFonts w:cs="Calibri"/>
        </w:rPr>
        <w:t>make a determination</w:t>
      </w:r>
      <w:proofErr w:type="gramEnd"/>
      <w:r>
        <w:rPr>
          <w:rFonts w:cs="Calibri"/>
        </w:rPr>
        <w:t xml:space="preserve"> about the alleged Policy violation(s)</w:t>
      </w:r>
      <w:r w:rsidDel="000D1777">
        <w:rPr>
          <w:rFonts w:cs="Calibri"/>
        </w:rPr>
        <w:t>.</w:t>
      </w:r>
    </w:p>
    <w:p w14:paraId="50D47DD2" w14:textId="77777777" w:rsidR="00901191" w:rsidRPr="0026035B" w:rsidRDefault="00901191" w:rsidP="00901191">
      <w:pPr>
        <w:pStyle w:val="ListParagraph"/>
        <w:numPr>
          <w:ilvl w:val="0"/>
          <w:numId w:val="65"/>
        </w:numPr>
        <w:spacing w:after="160"/>
        <w:contextualSpacing w:val="0"/>
        <w:rPr>
          <w:rFonts w:cs="Calibri"/>
          <w:strike/>
        </w:rPr>
      </w:pPr>
      <w:r w:rsidRPr="00E01283">
        <w:rPr>
          <w:rFonts w:cs="Calibri"/>
          <w:b/>
          <w:bCs/>
          <w:i/>
          <w:iCs/>
        </w:rPr>
        <w:t xml:space="preserve">Confidential </w:t>
      </w:r>
      <w:r>
        <w:rPr>
          <w:rFonts w:cs="Calibri"/>
          <w:b/>
          <w:bCs/>
          <w:i/>
          <w:iCs/>
        </w:rPr>
        <w:t>Employee.</w:t>
      </w:r>
      <w:r w:rsidRPr="00E01283">
        <w:rPr>
          <w:rFonts w:cs="Calibri"/>
        </w:rPr>
        <w:t xml:space="preserve"> </w:t>
      </w:r>
    </w:p>
    <w:p w14:paraId="02EBC386" w14:textId="77777777" w:rsidR="00901191" w:rsidRDefault="00901191" w:rsidP="00901191">
      <w:pPr>
        <w:pStyle w:val="ListParagraph"/>
        <w:numPr>
          <w:ilvl w:val="1"/>
          <w:numId w:val="65"/>
        </w:numPr>
      </w:pPr>
      <w:r>
        <w:t>An employee whose communications are privileged or confidential under federal or state law. The employee’s confidential status, for purposes of this definition, is only with respect to information received while the employee is functioning within the scope of their duties to which privilege or confidentiality applies; or</w:t>
      </w:r>
    </w:p>
    <w:p w14:paraId="29B8A42D" w14:textId="77777777" w:rsidR="00901191" w:rsidRDefault="00901191" w:rsidP="00901191">
      <w:pPr>
        <w:pStyle w:val="ListParagraph"/>
        <w:numPr>
          <w:ilvl w:val="1"/>
          <w:numId w:val="65"/>
        </w:numPr>
      </w:pPr>
      <w:r>
        <w:t xml:space="preserve">An employee whom the </w:t>
      </w:r>
      <w:r w:rsidRPr="0026035B">
        <w:rPr>
          <w:highlight w:val="lightGray"/>
        </w:rPr>
        <w:t>Recipient</w:t>
      </w:r>
      <w:r>
        <w:t xml:space="preserve"> has designated as confidential under this Policy for the purpose of providing services to </w:t>
      </w:r>
      <w:proofErr w:type="gramStart"/>
      <w:r>
        <w:t>persons</w:t>
      </w:r>
      <w:proofErr w:type="gramEnd"/>
      <w:r>
        <w:t xml:space="preserve"> related to discrimination, harassment, or retaliation. If the employee also has a duty not associated with providing those services, the employee’s confidential status only applies with respect to information received about discrimination, harassment, or retaliation in connection with providing those services; or</w:t>
      </w:r>
    </w:p>
    <w:p w14:paraId="2B7F2A8B" w14:textId="77777777" w:rsidR="00901191" w:rsidRDefault="00901191" w:rsidP="00901191">
      <w:pPr>
        <w:pStyle w:val="ListParagraph"/>
        <w:numPr>
          <w:ilvl w:val="1"/>
          <w:numId w:val="65"/>
        </w:numPr>
      </w:pPr>
      <w:r>
        <w:t>An employee who is conducting an Institutional Review Board-approved human-subjects research study designed to gather information about discrimination, harassment, or retaliation. The employee’s confidential status only applies with respect to information received while conducting the study.</w:t>
      </w:r>
    </w:p>
    <w:p w14:paraId="488FD8F5" w14:textId="77777777" w:rsidR="00901191" w:rsidRPr="00D45DD6" w:rsidRDefault="00901191" w:rsidP="00901191">
      <w:pPr>
        <w:pStyle w:val="ListParagraph"/>
        <w:ind w:left="1440"/>
      </w:pPr>
    </w:p>
    <w:p w14:paraId="51830D43" w14:textId="77777777" w:rsidR="00901191" w:rsidRPr="00E01283" w:rsidRDefault="00901191" w:rsidP="00901191">
      <w:pPr>
        <w:pStyle w:val="ListParagraph"/>
        <w:numPr>
          <w:ilvl w:val="0"/>
          <w:numId w:val="65"/>
        </w:numPr>
        <w:spacing w:after="160"/>
        <w:contextualSpacing w:val="0"/>
        <w:rPr>
          <w:rFonts w:cs="Calibri"/>
        </w:rPr>
      </w:pPr>
      <w:r w:rsidRPr="00E01283">
        <w:rPr>
          <w:rFonts w:cs="Calibri"/>
          <w:b/>
          <w:bCs/>
          <w:i/>
          <w:iCs/>
        </w:rPr>
        <w:lastRenderedPageBreak/>
        <w:t>Day</w:t>
      </w:r>
      <w:r w:rsidRPr="005244F9">
        <w:rPr>
          <w:rFonts w:cs="Calibri"/>
          <w:b/>
          <w:bCs/>
          <w:i/>
          <w:iCs/>
        </w:rPr>
        <w:t>.</w:t>
      </w:r>
      <w:r w:rsidRPr="005244F9">
        <w:rPr>
          <w:rFonts w:cs="Calibri"/>
        </w:rPr>
        <w:t xml:space="preserve"> </w:t>
      </w:r>
      <w:r w:rsidRPr="00057DFD">
        <w:rPr>
          <w:rFonts w:cs="Calibri"/>
          <w:highlight w:val="lightGray"/>
        </w:rPr>
        <w:t>A business day when the Recipient is in normal operation</w:t>
      </w:r>
      <w:r w:rsidRPr="00DD3C38">
        <w:rPr>
          <w:rFonts w:cs="Calibri"/>
        </w:rPr>
        <w:t>.</w:t>
      </w:r>
      <w:r>
        <w:rPr>
          <w:rFonts w:cs="Calibri"/>
        </w:rPr>
        <w:t xml:space="preserve"> All references in the Policy to days refer to business days unless specifically noted as calendar days.</w:t>
      </w:r>
    </w:p>
    <w:p w14:paraId="2BA0B083" w14:textId="77777777" w:rsidR="00901191" w:rsidRPr="00E01283" w:rsidRDefault="00901191" w:rsidP="00901191">
      <w:pPr>
        <w:pStyle w:val="ListParagraph"/>
        <w:numPr>
          <w:ilvl w:val="0"/>
          <w:numId w:val="65"/>
        </w:numPr>
        <w:spacing w:after="160"/>
        <w:contextualSpacing w:val="0"/>
        <w:rPr>
          <w:rFonts w:cs="Calibri"/>
        </w:rPr>
      </w:pPr>
      <w:r w:rsidRPr="00E01283">
        <w:rPr>
          <w:rFonts w:cs="Calibri"/>
          <w:b/>
          <w:bCs/>
          <w:i/>
          <w:iCs/>
        </w:rPr>
        <w:t>Decision-maker</w:t>
      </w:r>
      <w:r>
        <w:rPr>
          <w:rFonts w:cs="Calibri"/>
          <w:b/>
          <w:bCs/>
          <w:i/>
          <w:iCs/>
        </w:rPr>
        <w:t>.</w:t>
      </w:r>
      <w:r w:rsidRPr="00E01283">
        <w:rPr>
          <w:rFonts w:cs="Calibri"/>
        </w:rPr>
        <w:t xml:space="preserve"> </w:t>
      </w:r>
      <w:r>
        <w:rPr>
          <w:rFonts w:cs="Calibri"/>
        </w:rPr>
        <w:t>T</w:t>
      </w:r>
      <w:r w:rsidRPr="00E01283">
        <w:rPr>
          <w:rFonts w:cs="Calibri"/>
        </w:rPr>
        <w:t xml:space="preserve">he </w:t>
      </w:r>
      <w:r>
        <w:rPr>
          <w:rFonts w:cs="Calibri"/>
        </w:rPr>
        <w:t>person</w:t>
      </w:r>
      <w:r w:rsidRPr="00E01283">
        <w:rPr>
          <w:rFonts w:cs="Calibri"/>
        </w:rPr>
        <w:t xml:space="preserve"> or panel </w:t>
      </w:r>
      <w:r w:rsidRPr="00C74FF0">
        <w:rPr>
          <w:rFonts w:cs="Calibri"/>
        </w:rPr>
        <w:t>who hears</w:t>
      </w:r>
      <w:r>
        <w:rPr>
          <w:rFonts w:cs="Calibri"/>
        </w:rPr>
        <w:t xml:space="preserve"> </w:t>
      </w:r>
      <w:proofErr w:type="gramStart"/>
      <w:r w:rsidRPr="00E01283">
        <w:rPr>
          <w:rFonts w:cs="Calibri"/>
        </w:rPr>
        <w:t>evidence,</w:t>
      </w:r>
      <w:proofErr w:type="gramEnd"/>
      <w:r w:rsidRPr="00E01283">
        <w:rPr>
          <w:rFonts w:cs="Calibri"/>
        </w:rPr>
        <w:t xml:space="preserve"> </w:t>
      </w:r>
      <w:r w:rsidRPr="00C74FF0">
        <w:rPr>
          <w:rFonts w:cs="Calibri"/>
        </w:rPr>
        <w:t>determines</w:t>
      </w:r>
      <w:r w:rsidRPr="00E01283">
        <w:rPr>
          <w:rFonts w:cs="Calibri"/>
        </w:rPr>
        <w:t xml:space="preserve"> relevance, and </w:t>
      </w:r>
      <w:r w:rsidRPr="00C74FF0">
        <w:rPr>
          <w:rFonts w:cs="Calibri"/>
        </w:rPr>
        <w:t>makes</w:t>
      </w:r>
      <w:r w:rsidRPr="00E01283">
        <w:rPr>
          <w:rFonts w:cs="Calibri"/>
        </w:rPr>
        <w:t xml:space="preserve"> the Final Determination of whether Policy has been violated and/or </w:t>
      </w:r>
      <w:r w:rsidRPr="00C74FF0">
        <w:rPr>
          <w:rFonts w:cs="Calibri"/>
        </w:rPr>
        <w:t>assigns</w:t>
      </w:r>
      <w:r w:rsidRPr="00E01283">
        <w:rPr>
          <w:rFonts w:cs="Calibri"/>
        </w:rPr>
        <w:t xml:space="preserve"> sanctions.</w:t>
      </w:r>
    </w:p>
    <w:p w14:paraId="4EA05E04" w14:textId="77777777" w:rsidR="00901191" w:rsidRPr="00E01283" w:rsidRDefault="00901191" w:rsidP="00901191">
      <w:pPr>
        <w:pStyle w:val="ListParagraph"/>
        <w:numPr>
          <w:ilvl w:val="0"/>
          <w:numId w:val="65"/>
        </w:numPr>
        <w:spacing w:after="160"/>
        <w:contextualSpacing w:val="0"/>
        <w:rPr>
          <w:rFonts w:cs="Calibri"/>
        </w:rPr>
      </w:pPr>
      <w:r w:rsidRPr="00E01283">
        <w:rPr>
          <w:rFonts w:cs="Calibri"/>
          <w:b/>
          <w:bCs/>
          <w:i/>
          <w:iCs/>
        </w:rPr>
        <w:t xml:space="preserve">Education </w:t>
      </w:r>
      <w:r>
        <w:rPr>
          <w:rFonts w:cs="Calibri"/>
          <w:b/>
          <w:bCs/>
          <w:i/>
          <w:iCs/>
        </w:rPr>
        <w:t>P</w:t>
      </w:r>
      <w:r w:rsidRPr="00E01283">
        <w:rPr>
          <w:rFonts w:cs="Calibri"/>
          <w:b/>
          <w:bCs/>
          <w:i/>
          <w:iCs/>
        </w:rPr>
        <w:t xml:space="preserve">rogram or </w:t>
      </w:r>
      <w:r>
        <w:rPr>
          <w:rFonts w:cs="Calibri"/>
          <w:b/>
          <w:bCs/>
          <w:i/>
          <w:iCs/>
        </w:rPr>
        <w:t>A</w:t>
      </w:r>
      <w:r w:rsidRPr="00E01283">
        <w:rPr>
          <w:rFonts w:cs="Calibri"/>
          <w:b/>
          <w:bCs/>
          <w:i/>
          <w:iCs/>
        </w:rPr>
        <w:t>ctivity</w:t>
      </w:r>
      <w:r>
        <w:rPr>
          <w:rFonts w:cs="Calibri"/>
          <w:b/>
          <w:bCs/>
          <w:i/>
          <w:iCs/>
        </w:rPr>
        <w:t>.</w:t>
      </w:r>
      <w:r w:rsidRPr="00E01283">
        <w:rPr>
          <w:rFonts w:cs="Calibri"/>
        </w:rPr>
        <w:t xml:space="preserve"> </w:t>
      </w:r>
      <w:r>
        <w:rPr>
          <w:rFonts w:cs="Calibri"/>
        </w:rPr>
        <w:t>L</w:t>
      </w:r>
      <w:r w:rsidRPr="00E01283">
        <w:rPr>
          <w:rFonts w:cs="Calibri"/>
        </w:rPr>
        <w:t xml:space="preserve">ocations, events, or circumstances where </w:t>
      </w:r>
      <w:r>
        <w:rPr>
          <w:rFonts w:cs="Calibri"/>
        </w:rPr>
        <w:t xml:space="preserve">the </w:t>
      </w:r>
      <w:r w:rsidRPr="001E6A09">
        <w:rPr>
          <w:rFonts w:cs="Calibri"/>
          <w:highlight w:val="lightGray"/>
        </w:rPr>
        <w:t>Recipient</w:t>
      </w:r>
      <w:r w:rsidRPr="00E01283">
        <w:rPr>
          <w:rFonts w:cs="Calibri"/>
        </w:rPr>
        <w:t xml:space="preserve"> exercises substantial control </w:t>
      </w:r>
      <w:r w:rsidRPr="005244F9">
        <w:rPr>
          <w:rFonts w:cs="Calibri"/>
        </w:rPr>
        <w:t xml:space="preserve">over </w:t>
      </w:r>
      <w:r w:rsidRPr="00E01283">
        <w:rPr>
          <w:rFonts w:cs="Calibri"/>
        </w:rPr>
        <w:t xml:space="preserve">the context in which the </w:t>
      </w:r>
      <w:r>
        <w:rPr>
          <w:rFonts w:cs="Calibri"/>
        </w:rPr>
        <w:t xml:space="preserve">discrimination, </w:t>
      </w:r>
      <w:r w:rsidRPr="00E01283">
        <w:rPr>
          <w:rFonts w:cs="Calibri"/>
        </w:rPr>
        <w:t xml:space="preserve">harassment, and/or retaliation occurs </w:t>
      </w:r>
      <w:proofErr w:type="gramStart"/>
      <w:r w:rsidRPr="00E01283">
        <w:rPr>
          <w:rFonts w:cs="Calibri"/>
        </w:rPr>
        <w:t>and also</w:t>
      </w:r>
      <w:proofErr w:type="gramEnd"/>
      <w:r w:rsidRPr="00E01283">
        <w:rPr>
          <w:rFonts w:cs="Calibri"/>
        </w:rPr>
        <w:t xml:space="preserve"> includes any building owned or controlled by a student organization that the </w:t>
      </w:r>
      <w:r w:rsidRPr="001E6A09">
        <w:rPr>
          <w:rFonts w:cs="Calibri"/>
          <w:highlight w:val="lightGray"/>
        </w:rPr>
        <w:t>Recipient</w:t>
      </w:r>
      <w:r>
        <w:rPr>
          <w:rFonts w:cs="Calibri"/>
        </w:rPr>
        <w:t xml:space="preserve"> </w:t>
      </w:r>
      <w:r w:rsidRPr="00E01283">
        <w:rPr>
          <w:rFonts w:cs="Calibri"/>
        </w:rPr>
        <w:t>officially recognize</w:t>
      </w:r>
      <w:r>
        <w:rPr>
          <w:rFonts w:cs="Calibri"/>
        </w:rPr>
        <w:t>s.</w:t>
      </w:r>
    </w:p>
    <w:p w14:paraId="7943A3C7" w14:textId="77777777" w:rsidR="00901191" w:rsidRPr="0026035B" w:rsidRDefault="00901191" w:rsidP="00901191">
      <w:pPr>
        <w:pStyle w:val="ListParagraph"/>
        <w:numPr>
          <w:ilvl w:val="0"/>
          <w:numId w:val="65"/>
        </w:numPr>
        <w:spacing w:after="160"/>
        <w:contextualSpacing w:val="0"/>
        <w:rPr>
          <w:rFonts w:cs="Calibri"/>
        </w:rPr>
      </w:pPr>
      <w:r w:rsidRPr="00860148">
        <w:rPr>
          <w:rFonts w:cs="Calibri"/>
          <w:b/>
          <w:bCs/>
          <w:i/>
          <w:iCs/>
        </w:rPr>
        <w:t>Employee.</w:t>
      </w:r>
      <w:r>
        <w:rPr>
          <w:rFonts w:cs="Calibri"/>
          <w:b/>
          <w:bCs/>
          <w:i/>
          <w:iCs/>
        </w:rPr>
        <w:t xml:space="preserve"> </w:t>
      </w:r>
      <w:r w:rsidRPr="0026035B">
        <w:rPr>
          <w:rFonts w:cs="Calibri"/>
        </w:rPr>
        <w:t>A person employed by Recipient either full- or part-time, including student employees when acting within the scop</w:t>
      </w:r>
      <w:r>
        <w:rPr>
          <w:rFonts w:cs="Calibri"/>
        </w:rPr>
        <w:t>e</w:t>
      </w:r>
      <w:r w:rsidRPr="0026035B">
        <w:rPr>
          <w:rFonts w:cs="Calibri"/>
        </w:rPr>
        <w:t xml:space="preserve"> of their employment. </w:t>
      </w:r>
    </w:p>
    <w:p w14:paraId="32EF11D0" w14:textId="77777777" w:rsidR="00901191" w:rsidRDefault="00901191" w:rsidP="00901191">
      <w:pPr>
        <w:pStyle w:val="ListParagraph"/>
        <w:numPr>
          <w:ilvl w:val="0"/>
          <w:numId w:val="65"/>
        </w:numPr>
        <w:spacing w:after="160"/>
        <w:contextualSpacing w:val="0"/>
        <w:rPr>
          <w:rFonts w:cs="Calibri"/>
        </w:rPr>
      </w:pPr>
      <w:r w:rsidRPr="00E01283">
        <w:rPr>
          <w:rFonts w:cs="Calibri"/>
          <w:b/>
          <w:bCs/>
          <w:i/>
          <w:iCs/>
        </w:rPr>
        <w:t>Final Determination</w:t>
      </w:r>
      <w:r w:rsidRPr="00860148">
        <w:rPr>
          <w:rFonts w:cs="Calibri"/>
          <w:b/>
          <w:bCs/>
        </w:rPr>
        <w:t>.</w:t>
      </w:r>
      <w:r w:rsidRPr="00E01283">
        <w:rPr>
          <w:rFonts w:cs="Calibri"/>
        </w:rPr>
        <w:t xml:space="preserve"> </w:t>
      </w:r>
      <w:r>
        <w:rPr>
          <w:rFonts w:cs="Calibri"/>
        </w:rPr>
        <w:t>A</w:t>
      </w:r>
      <w:r w:rsidRPr="00E01283">
        <w:rPr>
          <w:rFonts w:cs="Calibri"/>
        </w:rPr>
        <w:t xml:space="preserve"> conclusion by the standard of proof that the alleged conduct did or did not violate </w:t>
      </w:r>
      <w:r>
        <w:rPr>
          <w:rFonts w:cs="Calibri"/>
        </w:rPr>
        <w:t>P</w:t>
      </w:r>
      <w:r w:rsidRPr="00E01283">
        <w:rPr>
          <w:rFonts w:cs="Calibri"/>
        </w:rPr>
        <w:t xml:space="preserve">olicy. </w:t>
      </w:r>
    </w:p>
    <w:p w14:paraId="188B309B" w14:textId="77777777" w:rsidR="00901191" w:rsidRPr="00DA6288" w:rsidRDefault="00901191" w:rsidP="00901191">
      <w:pPr>
        <w:pStyle w:val="ListParagraph"/>
        <w:numPr>
          <w:ilvl w:val="0"/>
          <w:numId w:val="65"/>
        </w:numPr>
        <w:spacing w:after="160"/>
        <w:contextualSpacing w:val="0"/>
        <w:rPr>
          <w:rFonts w:cs="Calibri"/>
        </w:rPr>
      </w:pPr>
      <w:r w:rsidRPr="00DA6288">
        <w:rPr>
          <w:rFonts w:cs="Calibri"/>
          <w:b/>
          <w:bCs/>
          <w:i/>
          <w:iCs/>
        </w:rPr>
        <w:t xml:space="preserve">Finding. </w:t>
      </w:r>
      <w:r w:rsidRPr="002F6D6C">
        <w:rPr>
          <w:rFonts w:cs="Calibri"/>
        </w:rPr>
        <w:t>A conclusion by the standard of proof that the conduct did or did not occur as alleged (as in a “finding of fact”).</w:t>
      </w:r>
    </w:p>
    <w:p w14:paraId="2ED46E32" w14:textId="77777777" w:rsidR="00901191" w:rsidRPr="005244F9" w:rsidRDefault="00901191" w:rsidP="00901191">
      <w:pPr>
        <w:pStyle w:val="ListParagraph"/>
        <w:numPr>
          <w:ilvl w:val="0"/>
          <w:numId w:val="65"/>
        </w:numPr>
        <w:spacing w:after="160"/>
        <w:contextualSpacing w:val="0"/>
        <w:rPr>
          <w:rFonts w:cs="Calibri"/>
        </w:rPr>
      </w:pPr>
      <w:r w:rsidRPr="005244F9">
        <w:rPr>
          <w:rFonts w:cs="Calibri"/>
          <w:b/>
          <w:bCs/>
          <w:i/>
          <w:iCs/>
        </w:rPr>
        <w:t>Informal Resolution.</w:t>
      </w:r>
      <w:r w:rsidRPr="00DA6288">
        <w:rPr>
          <w:rFonts w:cs="Calibri"/>
        </w:rPr>
        <w:t xml:space="preserve"> A resolution agreed to by the Parties and approved by the </w:t>
      </w:r>
      <w:r w:rsidRPr="005244F9">
        <w:rPr>
          <w:rFonts w:cs="Calibri"/>
          <w:highlight w:val="lightGray"/>
        </w:rPr>
        <w:t>Administrator</w:t>
      </w:r>
      <w:r w:rsidRPr="00DA6288">
        <w:rPr>
          <w:rFonts w:cs="Calibri"/>
        </w:rPr>
        <w:t xml:space="preserve"> that occurs prior to a Final Determination in the Resolution Process.</w:t>
      </w:r>
    </w:p>
    <w:p w14:paraId="26943D5F" w14:textId="77777777" w:rsidR="00901191" w:rsidRDefault="00901191" w:rsidP="00901191">
      <w:pPr>
        <w:pStyle w:val="ListParagraph"/>
        <w:numPr>
          <w:ilvl w:val="0"/>
          <w:numId w:val="65"/>
        </w:numPr>
        <w:spacing w:after="160"/>
        <w:contextualSpacing w:val="0"/>
        <w:rPr>
          <w:rFonts w:cs="Calibri"/>
        </w:rPr>
      </w:pPr>
      <w:r>
        <w:rPr>
          <w:rFonts w:cs="Calibri"/>
          <w:b/>
          <w:bCs/>
          <w:i/>
          <w:iCs/>
        </w:rPr>
        <w:t xml:space="preserve">Investigation Report. </w:t>
      </w:r>
      <w:r>
        <w:rPr>
          <w:rFonts w:cs="Calibri"/>
        </w:rPr>
        <w:t>The Investigator’s summary of all relevant evidence gathered during the investigation. Variations include the Draft Investigation Report and the Final Investigation Report.</w:t>
      </w:r>
    </w:p>
    <w:p w14:paraId="20032ABF" w14:textId="77777777" w:rsidR="00901191" w:rsidRDefault="00901191" w:rsidP="00901191">
      <w:pPr>
        <w:pStyle w:val="ListParagraph"/>
        <w:numPr>
          <w:ilvl w:val="0"/>
          <w:numId w:val="65"/>
        </w:numPr>
        <w:spacing w:after="160"/>
        <w:contextualSpacing w:val="0"/>
        <w:rPr>
          <w:rFonts w:cs="Calibri"/>
        </w:rPr>
      </w:pPr>
      <w:r w:rsidRPr="00E01283">
        <w:rPr>
          <w:rFonts w:cs="Calibri"/>
          <w:b/>
          <w:bCs/>
          <w:i/>
          <w:iCs/>
        </w:rPr>
        <w:t>Investigator</w:t>
      </w:r>
      <w:r>
        <w:rPr>
          <w:rFonts w:cs="Calibri"/>
          <w:b/>
          <w:bCs/>
          <w:i/>
          <w:iCs/>
        </w:rPr>
        <w:t>.</w:t>
      </w:r>
      <w:r w:rsidRPr="00E01283">
        <w:rPr>
          <w:rFonts w:cs="Calibri"/>
          <w:b/>
          <w:bCs/>
          <w:i/>
          <w:iCs/>
        </w:rPr>
        <w:t xml:space="preserve"> </w:t>
      </w:r>
      <w:r>
        <w:rPr>
          <w:rFonts w:cs="Calibri"/>
        </w:rPr>
        <w:t>T</w:t>
      </w:r>
      <w:r w:rsidRPr="007D735D">
        <w:rPr>
          <w:rFonts w:cs="Calibri"/>
        </w:rPr>
        <w:t xml:space="preserve">he </w:t>
      </w:r>
      <w:r>
        <w:rPr>
          <w:rFonts w:cs="Calibri"/>
        </w:rPr>
        <w:t>person</w:t>
      </w:r>
      <w:r w:rsidRPr="007D735D">
        <w:rPr>
          <w:rFonts w:cs="Calibri"/>
        </w:rPr>
        <w:t xml:space="preserve">(s) authorized by </w:t>
      </w:r>
      <w:r w:rsidRPr="00C473F7">
        <w:rPr>
          <w:rFonts w:cs="Calibri"/>
          <w:highlight w:val="lightGray"/>
        </w:rPr>
        <w:t>Recipient</w:t>
      </w:r>
      <w:r w:rsidRPr="007D735D">
        <w:rPr>
          <w:rFonts w:cs="Calibri"/>
        </w:rPr>
        <w:t xml:space="preserve"> to gather facts about an alleged violation of this Policy, assess relevance and credibility, synthesize the evidence, and compile this information into an </w:t>
      </w:r>
      <w:r>
        <w:rPr>
          <w:rFonts w:cs="Calibri"/>
        </w:rPr>
        <w:t>I</w:t>
      </w:r>
      <w:r w:rsidRPr="007D735D">
        <w:rPr>
          <w:rFonts w:cs="Calibri"/>
        </w:rPr>
        <w:t xml:space="preserve">nvestigation </w:t>
      </w:r>
      <w:r>
        <w:rPr>
          <w:rFonts w:cs="Calibri"/>
        </w:rPr>
        <w:t>R</w:t>
      </w:r>
      <w:r w:rsidRPr="007D735D">
        <w:rPr>
          <w:rFonts w:cs="Calibri"/>
        </w:rPr>
        <w:t>eport</w:t>
      </w:r>
      <w:r>
        <w:rPr>
          <w:rFonts w:cs="Calibri"/>
        </w:rPr>
        <w:t>.</w:t>
      </w:r>
      <w:r w:rsidRPr="007D735D">
        <w:rPr>
          <w:rFonts w:cs="Calibri"/>
        </w:rPr>
        <w:t xml:space="preserve"> </w:t>
      </w:r>
    </w:p>
    <w:p w14:paraId="348BB4EF" w14:textId="77777777" w:rsidR="00901191" w:rsidRPr="007D735D" w:rsidRDefault="00901191" w:rsidP="00901191">
      <w:pPr>
        <w:pStyle w:val="ListParagraph"/>
        <w:numPr>
          <w:ilvl w:val="0"/>
          <w:numId w:val="65"/>
        </w:numPr>
        <w:spacing w:after="160"/>
        <w:contextualSpacing w:val="0"/>
        <w:rPr>
          <w:rFonts w:cs="Calibri"/>
        </w:rPr>
      </w:pPr>
      <w:r>
        <w:rPr>
          <w:rFonts w:cs="Calibri"/>
          <w:b/>
          <w:bCs/>
          <w:i/>
          <w:iCs/>
        </w:rPr>
        <w:t>Knowledge.</w:t>
      </w:r>
      <w:r>
        <w:rPr>
          <w:rFonts w:cs="Calibri"/>
          <w:b/>
          <w:bCs/>
        </w:rPr>
        <w:t xml:space="preserve"> </w:t>
      </w:r>
      <w:r w:rsidRPr="0026035B">
        <w:rPr>
          <w:rFonts w:cs="Calibri"/>
        </w:rPr>
        <w:t xml:space="preserve">When </w:t>
      </w:r>
      <w:proofErr w:type="gramStart"/>
      <w:r w:rsidRPr="005244F9">
        <w:rPr>
          <w:rFonts w:cs="Calibri"/>
          <w:highlight w:val="lightGray"/>
        </w:rPr>
        <w:t>Recipient</w:t>
      </w:r>
      <w:proofErr w:type="gramEnd"/>
      <w:r w:rsidRPr="0026035B">
        <w:rPr>
          <w:rFonts w:cs="Calibri"/>
        </w:rPr>
        <w:t xml:space="preserve"> receives </w:t>
      </w:r>
      <w:r>
        <w:rPr>
          <w:rFonts w:cs="Calibri"/>
        </w:rPr>
        <w:t>N</w:t>
      </w:r>
      <w:r w:rsidRPr="0026035B">
        <w:rPr>
          <w:rFonts w:cs="Calibri"/>
        </w:rPr>
        <w:t xml:space="preserve">otice of </w:t>
      </w:r>
      <w:r>
        <w:rPr>
          <w:sz w:val="23"/>
          <w:szCs w:val="23"/>
        </w:rPr>
        <w:t>conduct that reasonably may constitute harassment, discrimination, or retaliation in its Education Program or Activity.</w:t>
      </w:r>
    </w:p>
    <w:p w14:paraId="6EA8FC9A" w14:textId="77777777" w:rsidR="00901191" w:rsidRPr="007D735D" w:rsidRDefault="00901191" w:rsidP="00901191">
      <w:pPr>
        <w:pStyle w:val="ListParagraph"/>
        <w:numPr>
          <w:ilvl w:val="0"/>
          <w:numId w:val="65"/>
        </w:numPr>
        <w:spacing w:after="160"/>
        <w:contextualSpacing w:val="0"/>
        <w:rPr>
          <w:rFonts w:cs="Calibri"/>
        </w:rPr>
      </w:pPr>
      <w:r w:rsidRPr="00E01283">
        <w:rPr>
          <w:rFonts w:cs="Calibri"/>
          <w:b/>
          <w:bCs/>
          <w:i/>
          <w:iCs/>
        </w:rPr>
        <w:t>Mandated Reporter</w:t>
      </w:r>
      <w:r>
        <w:rPr>
          <w:rFonts w:cs="Calibri"/>
          <w:b/>
          <w:bCs/>
          <w:i/>
          <w:iCs/>
        </w:rPr>
        <w:t>.</w:t>
      </w:r>
      <w:r w:rsidRPr="007D735D">
        <w:rPr>
          <w:rFonts w:cs="Calibri"/>
        </w:rPr>
        <w:t xml:space="preserve"> </w:t>
      </w:r>
      <w:r>
        <w:rPr>
          <w:rFonts w:cs="Calibri"/>
        </w:rPr>
        <w:t>A</w:t>
      </w:r>
      <w:r w:rsidRPr="007D735D">
        <w:rPr>
          <w:rFonts w:cs="Calibri"/>
        </w:rPr>
        <w:t xml:space="preserve"> </w:t>
      </w:r>
      <w:r w:rsidRPr="005244F9">
        <w:rPr>
          <w:rFonts w:cs="Calibri"/>
          <w:highlight w:val="lightGray"/>
        </w:rPr>
        <w:t>Recipient</w:t>
      </w:r>
      <w:r w:rsidRPr="007D735D">
        <w:rPr>
          <w:rFonts w:cs="Calibri"/>
        </w:rPr>
        <w:t xml:space="preserve"> employee who is obligated by </w:t>
      </w:r>
      <w:r>
        <w:rPr>
          <w:rFonts w:cs="Calibri"/>
        </w:rPr>
        <w:t>P</w:t>
      </w:r>
      <w:r w:rsidRPr="007D735D">
        <w:rPr>
          <w:rFonts w:cs="Calibri"/>
        </w:rPr>
        <w:t xml:space="preserve">olicy to share </w:t>
      </w:r>
      <w:r>
        <w:rPr>
          <w:rFonts w:cs="Calibri"/>
        </w:rPr>
        <w:t>K</w:t>
      </w:r>
      <w:r w:rsidRPr="007D735D">
        <w:rPr>
          <w:rFonts w:cs="Calibri"/>
        </w:rPr>
        <w:t xml:space="preserve">nowledge, </w:t>
      </w:r>
      <w:r>
        <w:rPr>
          <w:rFonts w:cs="Calibri"/>
        </w:rPr>
        <w:t>N</w:t>
      </w:r>
      <w:r w:rsidRPr="007D735D">
        <w:rPr>
          <w:rFonts w:cs="Calibri"/>
        </w:rPr>
        <w:t xml:space="preserve">otice, and/or reports of </w:t>
      </w:r>
      <w:r>
        <w:rPr>
          <w:rFonts w:cs="Calibri"/>
        </w:rPr>
        <w:t xml:space="preserve">discrimination, </w:t>
      </w:r>
      <w:r w:rsidRPr="007D735D">
        <w:rPr>
          <w:rFonts w:cs="Calibri"/>
        </w:rPr>
        <w:t xml:space="preserve">harassment, and/or retaliation with the </w:t>
      </w:r>
      <w:r w:rsidRPr="00FC414B">
        <w:rPr>
          <w:rFonts w:cs="Calibri"/>
          <w:highlight w:val="lightGray"/>
        </w:rPr>
        <w:t>Administrator</w:t>
      </w:r>
      <w:r w:rsidRPr="007D735D">
        <w:rPr>
          <w:rFonts w:cs="Calibri"/>
        </w:rPr>
        <w:t>.</w:t>
      </w:r>
      <w:r>
        <w:rPr>
          <w:rStyle w:val="FootnoteReference"/>
          <w:rFonts w:cs="Calibri"/>
        </w:rPr>
        <w:footnoteReference w:id="36"/>
      </w:r>
      <w:r w:rsidRPr="00C473F7">
        <w:rPr>
          <w:rFonts w:cs="Calibri"/>
          <w:vertAlign w:val="superscript"/>
        </w:rPr>
        <w:t>,</w:t>
      </w:r>
      <w:r>
        <w:rPr>
          <w:rStyle w:val="FootnoteReference"/>
          <w:rFonts w:cs="Calibri"/>
        </w:rPr>
        <w:footnoteReference w:id="37"/>
      </w:r>
      <w:r w:rsidRPr="007D735D">
        <w:rPr>
          <w:rFonts w:cs="Calibri"/>
        </w:rPr>
        <w:t xml:space="preserve"> </w:t>
      </w:r>
    </w:p>
    <w:p w14:paraId="63EFA098" w14:textId="77777777" w:rsidR="00901191" w:rsidRDefault="00901191" w:rsidP="00901191">
      <w:pPr>
        <w:pStyle w:val="ListParagraph"/>
        <w:numPr>
          <w:ilvl w:val="0"/>
          <w:numId w:val="65"/>
        </w:numPr>
        <w:contextualSpacing w:val="0"/>
        <w:rPr>
          <w:rFonts w:cs="Calibri"/>
        </w:rPr>
      </w:pPr>
      <w:r w:rsidRPr="005244F9">
        <w:rPr>
          <w:rFonts w:cs="Calibri"/>
          <w:b/>
          <w:bCs/>
          <w:i/>
          <w:iCs/>
          <w:highlight w:val="lightGray"/>
        </w:rPr>
        <w:t>Nondiscrimination Team</w:t>
      </w:r>
      <w:r>
        <w:rPr>
          <w:rFonts w:cs="Calibri"/>
          <w:b/>
          <w:bCs/>
        </w:rPr>
        <w:t xml:space="preserve">. </w:t>
      </w:r>
      <w:r w:rsidRPr="00860148">
        <w:rPr>
          <w:rFonts w:cs="Calibri"/>
        </w:rPr>
        <w:t>T</w:t>
      </w:r>
      <w:r w:rsidRPr="008631C8">
        <w:rPr>
          <w:rFonts w:cs="Calibri"/>
        </w:rPr>
        <w:t xml:space="preserve">he </w:t>
      </w:r>
      <w:r w:rsidRPr="00860148">
        <w:rPr>
          <w:rFonts w:cs="Calibri"/>
          <w:highlight w:val="lightGray"/>
        </w:rPr>
        <w:t>Administrator</w:t>
      </w:r>
      <w:r w:rsidRPr="008631C8">
        <w:rPr>
          <w:rFonts w:cs="Calibri"/>
        </w:rPr>
        <w:t xml:space="preserve">, </w:t>
      </w:r>
      <w:r w:rsidRPr="005244F9">
        <w:rPr>
          <w:rFonts w:cs="Calibri"/>
        </w:rPr>
        <w:t>any deputy coordinators</w:t>
      </w:r>
      <w:r w:rsidRPr="008631C8">
        <w:rPr>
          <w:rFonts w:cs="Calibri"/>
        </w:rPr>
        <w:t xml:space="preserve">, and any member of the </w:t>
      </w:r>
      <w:hyperlink w:anchor="Grievance_Process_Pool_Def" w:history="1">
        <w:r>
          <w:rPr>
            <w:rStyle w:val="Hyperlink"/>
            <w:rFonts w:cs="Calibri"/>
          </w:rPr>
          <w:t xml:space="preserve">Resolution </w:t>
        </w:r>
        <w:r w:rsidRPr="005C25B4">
          <w:rPr>
            <w:rStyle w:val="Hyperlink"/>
            <w:rFonts w:cs="Calibri"/>
          </w:rPr>
          <w:t>Process Pool</w:t>
        </w:r>
      </w:hyperlink>
      <w:r w:rsidRPr="008631C8">
        <w:rPr>
          <w:rFonts w:cs="Calibri"/>
        </w:rPr>
        <w:t>.</w:t>
      </w:r>
    </w:p>
    <w:p w14:paraId="7AF0E2C6" w14:textId="77777777" w:rsidR="00901191" w:rsidRPr="00860148" w:rsidRDefault="00901191" w:rsidP="00901191">
      <w:pPr>
        <w:pStyle w:val="ListParagraph"/>
        <w:contextualSpacing w:val="0"/>
        <w:rPr>
          <w:rFonts w:cs="Calibri"/>
        </w:rPr>
      </w:pPr>
    </w:p>
    <w:p w14:paraId="0638B3EE" w14:textId="77777777" w:rsidR="00901191" w:rsidRDefault="00901191" w:rsidP="00901191">
      <w:pPr>
        <w:pStyle w:val="ListParagraph"/>
        <w:numPr>
          <w:ilvl w:val="0"/>
          <w:numId w:val="65"/>
        </w:numPr>
        <w:spacing w:after="160"/>
        <w:contextualSpacing w:val="0"/>
        <w:rPr>
          <w:rFonts w:cs="Calibri"/>
        </w:rPr>
      </w:pPr>
      <w:r w:rsidRPr="00E01283">
        <w:rPr>
          <w:rFonts w:cs="Calibri"/>
          <w:b/>
          <w:bCs/>
          <w:i/>
          <w:iCs/>
        </w:rPr>
        <w:lastRenderedPageBreak/>
        <w:t>Notice</w:t>
      </w:r>
      <w:r>
        <w:rPr>
          <w:rFonts w:cs="Calibri"/>
          <w:b/>
          <w:bCs/>
          <w:i/>
          <w:iCs/>
        </w:rPr>
        <w:t>.</w:t>
      </w:r>
      <w:r w:rsidRPr="007D735D">
        <w:rPr>
          <w:rFonts w:cs="Calibri"/>
        </w:rPr>
        <w:t xml:space="preserve"> </w:t>
      </w:r>
      <w:r>
        <w:rPr>
          <w:rFonts w:cs="Calibri"/>
        </w:rPr>
        <w:t>When</w:t>
      </w:r>
      <w:r w:rsidRPr="007D735D">
        <w:rPr>
          <w:rFonts w:cs="Calibri"/>
        </w:rPr>
        <w:t xml:space="preserve"> an employee, student, or third party informs the </w:t>
      </w:r>
      <w:r w:rsidRPr="0032368D">
        <w:rPr>
          <w:rFonts w:cs="Calibri"/>
          <w:highlight w:val="lightGray"/>
        </w:rPr>
        <w:t>Administrator</w:t>
      </w:r>
      <w:r w:rsidRPr="007D735D">
        <w:rPr>
          <w:rFonts w:cs="Calibri"/>
        </w:rPr>
        <w:t xml:space="preserve"> of the alleged occurrence of discriminatory,</w:t>
      </w:r>
      <w:r>
        <w:rPr>
          <w:rFonts w:cs="Calibri"/>
        </w:rPr>
        <w:t xml:space="preserve"> harassing,</w:t>
      </w:r>
      <w:r w:rsidRPr="007D735D">
        <w:rPr>
          <w:rFonts w:cs="Calibri"/>
        </w:rPr>
        <w:t xml:space="preserve"> and/or retaliatory conduct.</w:t>
      </w:r>
      <w:r>
        <w:rPr>
          <w:rFonts w:cs="Calibri"/>
        </w:rPr>
        <w:t xml:space="preserve"> </w:t>
      </w:r>
    </w:p>
    <w:p w14:paraId="485B5773" w14:textId="77777777" w:rsidR="00901191" w:rsidRPr="008631C8" w:rsidRDefault="00901191" w:rsidP="00901191">
      <w:pPr>
        <w:pStyle w:val="ListParagraph"/>
        <w:numPr>
          <w:ilvl w:val="0"/>
          <w:numId w:val="65"/>
        </w:numPr>
        <w:spacing w:after="160"/>
        <w:contextualSpacing w:val="0"/>
        <w:rPr>
          <w:rFonts w:cs="Calibri"/>
        </w:rPr>
      </w:pPr>
      <w:r w:rsidRPr="00E01283" w:rsidDel="00040231">
        <w:rPr>
          <w:rFonts w:cs="Calibri"/>
          <w:b/>
          <w:bCs/>
          <w:i/>
          <w:iCs/>
        </w:rPr>
        <w:t>Parties</w:t>
      </w:r>
      <w:r>
        <w:rPr>
          <w:rFonts w:cs="Calibri"/>
          <w:b/>
          <w:bCs/>
          <w:i/>
          <w:iCs/>
        </w:rPr>
        <w:t>.</w:t>
      </w:r>
      <w:r w:rsidRPr="008631C8">
        <w:rPr>
          <w:rFonts w:cs="Calibri"/>
        </w:rPr>
        <w:t xml:space="preserve"> </w:t>
      </w:r>
      <w:r>
        <w:rPr>
          <w:rFonts w:cs="Calibri"/>
        </w:rPr>
        <w:t>T</w:t>
      </w:r>
      <w:r w:rsidRPr="008631C8">
        <w:rPr>
          <w:rFonts w:cs="Calibri"/>
        </w:rPr>
        <w:t xml:space="preserve">he Complainant(s) and Respondent(s), collectively. </w:t>
      </w:r>
    </w:p>
    <w:p w14:paraId="7336B423" w14:textId="77777777" w:rsidR="00901191" w:rsidRPr="009727CB" w:rsidRDefault="00901191" w:rsidP="00901191">
      <w:pPr>
        <w:pStyle w:val="ListParagraph"/>
        <w:numPr>
          <w:ilvl w:val="0"/>
          <w:numId w:val="65"/>
        </w:numPr>
        <w:spacing w:after="160"/>
        <w:contextualSpacing w:val="0"/>
        <w:rPr>
          <w:rFonts w:cs="Calibri"/>
          <w:b/>
          <w:bCs/>
        </w:rPr>
      </w:pPr>
      <w:r w:rsidRPr="009727CB">
        <w:rPr>
          <w:rFonts w:cs="Calibri"/>
          <w:b/>
          <w:bCs/>
          <w:i/>
          <w:iCs/>
        </w:rPr>
        <w:t>Pregnancy or Related Conditions.</w:t>
      </w:r>
      <w:r>
        <w:rPr>
          <w:rFonts w:cs="Calibri"/>
          <w:b/>
          <w:bCs/>
        </w:rPr>
        <w:t xml:space="preserve"> </w:t>
      </w:r>
      <w:r>
        <w:rPr>
          <w:rFonts w:cs="Calibri"/>
        </w:rPr>
        <w:t>Pregnancy, childbirth, termination of pregnancy, or lactation, medical conditions related thereto, or recovery therefrom.</w:t>
      </w:r>
    </w:p>
    <w:p w14:paraId="14A988FF" w14:textId="77777777" w:rsidR="00901191" w:rsidRDefault="00901191" w:rsidP="00901191">
      <w:pPr>
        <w:pStyle w:val="ListParagraph"/>
        <w:numPr>
          <w:ilvl w:val="0"/>
          <w:numId w:val="65"/>
        </w:numPr>
        <w:spacing w:after="160"/>
        <w:contextualSpacing w:val="0"/>
        <w:rPr>
          <w:rFonts w:cs="Calibri"/>
        </w:rPr>
      </w:pPr>
      <w:r>
        <w:rPr>
          <w:rFonts w:cs="Calibri"/>
          <w:b/>
          <w:bCs/>
          <w:i/>
          <w:iCs/>
        </w:rPr>
        <w:t>Protected Characteristic</w:t>
      </w:r>
      <w:r>
        <w:rPr>
          <w:rFonts w:cs="Calibri"/>
          <w:b/>
          <w:bCs/>
        </w:rPr>
        <w:t xml:space="preserve">. </w:t>
      </w:r>
      <w:r w:rsidRPr="0032368D">
        <w:rPr>
          <w:rFonts w:cs="Calibri"/>
        </w:rPr>
        <w:t>Any characteristic for which a</w:t>
      </w:r>
      <w:r>
        <w:rPr>
          <w:rFonts w:cs="Calibri"/>
        </w:rPr>
        <w:t xml:space="preserve"> person</w:t>
      </w:r>
      <w:r w:rsidRPr="0032368D">
        <w:rPr>
          <w:rFonts w:cs="Calibri"/>
        </w:rPr>
        <w:t xml:space="preserve"> is afforded protection against discrimination and harassment by law or </w:t>
      </w:r>
      <w:r w:rsidRPr="0032368D">
        <w:rPr>
          <w:rFonts w:cs="Calibri"/>
          <w:highlight w:val="lightGray"/>
        </w:rPr>
        <w:t>Recipient</w:t>
      </w:r>
      <w:r w:rsidRPr="0032368D">
        <w:rPr>
          <w:rFonts w:cs="Calibri"/>
        </w:rPr>
        <w:t xml:space="preserve"> </w:t>
      </w:r>
      <w:r>
        <w:rPr>
          <w:rFonts w:cs="Calibri"/>
        </w:rPr>
        <w:t>P</w:t>
      </w:r>
      <w:r w:rsidRPr="0032368D">
        <w:rPr>
          <w:rFonts w:cs="Calibri"/>
        </w:rPr>
        <w:t>olicy.</w:t>
      </w:r>
    </w:p>
    <w:p w14:paraId="46F94FDD" w14:textId="77777777" w:rsidR="00901191" w:rsidRPr="0032368D" w:rsidRDefault="00901191" w:rsidP="00901191">
      <w:pPr>
        <w:pStyle w:val="ListParagraph"/>
        <w:numPr>
          <w:ilvl w:val="0"/>
          <w:numId w:val="65"/>
        </w:numPr>
        <w:spacing w:after="160"/>
        <w:contextualSpacing w:val="0"/>
        <w:rPr>
          <w:rFonts w:cs="Calibri"/>
        </w:rPr>
      </w:pPr>
      <w:r w:rsidRPr="00C67857">
        <w:rPr>
          <w:rFonts w:cs="Calibri"/>
          <w:b/>
          <w:bCs/>
          <w:i/>
          <w:iCs/>
        </w:rPr>
        <w:t xml:space="preserve">Relevant Evidence. </w:t>
      </w:r>
      <w:r w:rsidRPr="002F6D6C">
        <w:rPr>
          <w:rFonts w:cs="Calibri"/>
        </w:rPr>
        <w:t>Evidence that may aid a Decision-maker in determining whether the alleged discrimination, harassment, or retaliation occurred, or in determining the credibility of the Parties or witnesses.</w:t>
      </w:r>
    </w:p>
    <w:p w14:paraId="6579B816" w14:textId="77777777" w:rsidR="00901191" w:rsidRPr="00F327DE" w:rsidRDefault="00901191" w:rsidP="00901191">
      <w:pPr>
        <w:pStyle w:val="ListParagraph"/>
        <w:numPr>
          <w:ilvl w:val="0"/>
          <w:numId w:val="65"/>
        </w:numPr>
        <w:spacing w:after="160"/>
        <w:contextualSpacing w:val="0"/>
        <w:rPr>
          <w:rFonts w:cs="Calibri"/>
        </w:rPr>
      </w:pPr>
      <w:r w:rsidRPr="00E01283">
        <w:rPr>
          <w:rFonts w:cs="Calibri"/>
          <w:b/>
          <w:bCs/>
          <w:i/>
          <w:iCs/>
        </w:rPr>
        <w:t>Remedies</w:t>
      </w:r>
      <w:r>
        <w:rPr>
          <w:rFonts w:cs="Calibri"/>
          <w:b/>
          <w:bCs/>
          <w:i/>
          <w:iCs/>
        </w:rPr>
        <w:t>.</w:t>
      </w:r>
      <w:r w:rsidRPr="008631C8">
        <w:rPr>
          <w:rFonts w:cs="Calibri"/>
        </w:rPr>
        <w:t xml:space="preserve"> </w:t>
      </w:r>
      <w:r>
        <w:rPr>
          <w:rFonts w:cs="Calibri"/>
        </w:rPr>
        <w:t>Typically, p</w:t>
      </w:r>
      <w:r w:rsidRPr="008631C8">
        <w:rPr>
          <w:rFonts w:cs="Calibri"/>
        </w:rPr>
        <w:t>ost-</w:t>
      </w:r>
      <w:r>
        <w:rPr>
          <w:rFonts w:cs="Calibri"/>
        </w:rPr>
        <w:t>resolution</w:t>
      </w:r>
      <w:r w:rsidRPr="008631C8">
        <w:rPr>
          <w:rFonts w:cs="Calibri"/>
        </w:rPr>
        <w:t xml:space="preserve"> actions directed to the Complainant and/or the community as mechanisms to address safety, prevent recurrence, and restore</w:t>
      </w:r>
      <w:r>
        <w:rPr>
          <w:rFonts w:cs="Calibri"/>
        </w:rPr>
        <w:t xml:space="preserve"> or preserve</w:t>
      </w:r>
      <w:r w:rsidRPr="008631C8">
        <w:rPr>
          <w:rFonts w:cs="Calibri"/>
        </w:rPr>
        <w:t xml:space="preserve"> </w:t>
      </w:r>
      <w:r>
        <w:rPr>
          <w:rFonts w:cs="Calibri"/>
        </w:rPr>
        <w:t xml:space="preserve">equal </w:t>
      </w:r>
      <w:r w:rsidRPr="008631C8">
        <w:rPr>
          <w:rFonts w:cs="Calibri"/>
        </w:rPr>
        <w:t xml:space="preserve">access to the </w:t>
      </w:r>
      <w:r w:rsidRPr="0026035B">
        <w:rPr>
          <w:rFonts w:cs="Calibri"/>
          <w:highlight w:val="lightGray"/>
        </w:rPr>
        <w:t>Recipient</w:t>
      </w:r>
      <w:r w:rsidRPr="008631C8">
        <w:rPr>
          <w:rFonts w:cs="Calibri"/>
        </w:rPr>
        <w:t xml:space="preserve">’s </w:t>
      </w:r>
      <w:r>
        <w:rPr>
          <w:rFonts w:cs="Calibri"/>
        </w:rPr>
        <w:t>E</w:t>
      </w:r>
      <w:r w:rsidRPr="008631C8">
        <w:rPr>
          <w:rFonts w:cs="Calibri"/>
        </w:rPr>
        <w:t xml:space="preserve">ducation </w:t>
      </w:r>
      <w:r>
        <w:rPr>
          <w:rFonts w:cs="Calibri"/>
        </w:rPr>
        <w:t>P</w:t>
      </w:r>
      <w:r w:rsidRPr="008631C8">
        <w:rPr>
          <w:rFonts w:cs="Calibri"/>
        </w:rPr>
        <w:t>rogram</w:t>
      </w:r>
      <w:r>
        <w:rPr>
          <w:rFonts w:cs="Calibri"/>
        </w:rPr>
        <w:t xml:space="preserve"> and Activity</w:t>
      </w:r>
      <w:r w:rsidRPr="008631C8">
        <w:rPr>
          <w:rFonts w:cs="Calibri"/>
        </w:rPr>
        <w:t>.</w:t>
      </w:r>
      <w:r w:rsidRPr="004E1F1A">
        <w:rPr>
          <w:rFonts w:ascii="Helvetica Neue" w:eastAsiaTheme="minorHAnsi" w:hAnsi="Helvetica Neue" w:cs="Helvetica Neue"/>
          <w:color w:val="3E3E3E"/>
          <w:sz w:val="26"/>
          <w:szCs w:val="26"/>
        </w:rPr>
        <w:t xml:space="preserve"> </w:t>
      </w:r>
    </w:p>
    <w:p w14:paraId="099805ED" w14:textId="77777777" w:rsidR="00901191" w:rsidRPr="00BB33C1" w:rsidRDefault="00901191" w:rsidP="00901191">
      <w:pPr>
        <w:pStyle w:val="ListParagraph"/>
        <w:numPr>
          <w:ilvl w:val="0"/>
          <w:numId w:val="65"/>
        </w:numPr>
        <w:spacing w:after="160"/>
        <w:contextualSpacing w:val="0"/>
        <w:rPr>
          <w:rFonts w:cs="Calibri"/>
        </w:rPr>
      </w:pPr>
      <w:r w:rsidRPr="00F327DE">
        <w:rPr>
          <w:rFonts w:cs="Calibri"/>
          <w:b/>
          <w:bCs/>
          <w:i/>
          <w:iCs/>
        </w:rPr>
        <w:t>Resolution Process.</w:t>
      </w:r>
      <w:r w:rsidRPr="00F327DE">
        <w:rPr>
          <w:rFonts w:cs="Calibri"/>
        </w:rPr>
        <w:t xml:space="preserve"> The investigation and resolution </w:t>
      </w:r>
      <w:r>
        <w:rPr>
          <w:rFonts w:cs="Calibri"/>
        </w:rPr>
        <w:t>of</w:t>
      </w:r>
      <w:r w:rsidRPr="00F327DE">
        <w:rPr>
          <w:rFonts w:cs="Calibri"/>
        </w:rPr>
        <w:t xml:space="preserve"> allegations of prohibited conduct under this Policy, </w:t>
      </w:r>
      <w:r>
        <w:rPr>
          <w:rFonts w:cs="Calibri"/>
        </w:rPr>
        <w:t xml:space="preserve">including </w:t>
      </w:r>
      <w:r w:rsidRPr="00753616">
        <w:rPr>
          <w:rFonts w:cs="Calibri"/>
        </w:rPr>
        <w:t>Informal Resolution</w:t>
      </w:r>
      <w:r w:rsidRPr="00BB33C1">
        <w:rPr>
          <w:rFonts w:cs="Calibri"/>
        </w:rPr>
        <w:t xml:space="preserve">, </w:t>
      </w:r>
      <w:r w:rsidRPr="009F4ABE">
        <w:rPr>
          <w:rFonts w:cs="Calibri"/>
          <w:highlight w:val="lightGray"/>
        </w:rPr>
        <w:t>Administrative Resolution, and/or Hearing Resolution</w:t>
      </w:r>
      <w:r w:rsidRPr="00BB33C1">
        <w:rPr>
          <w:rFonts w:cs="Calibri"/>
        </w:rPr>
        <w:t>.</w:t>
      </w:r>
    </w:p>
    <w:p w14:paraId="28281816" w14:textId="77777777" w:rsidR="00901191" w:rsidRPr="00E01283" w:rsidRDefault="00901191" w:rsidP="00901191">
      <w:pPr>
        <w:pStyle w:val="ListParagraph"/>
        <w:numPr>
          <w:ilvl w:val="0"/>
          <w:numId w:val="65"/>
        </w:numPr>
        <w:spacing w:after="160"/>
        <w:contextualSpacing w:val="0"/>
        <w:rPr>
          <w:rFonts w:cs="Calibri"/>
        </w:rPr>
      </w:pPr>
      <w:r w:rsidRPr="00E01283">
        <w:rPr>
          <w:rFonts w:cs="Calibri"/>
          <w:b/>
          <w:bCs/>
          <w:i/>
          <w:iCs/>
        </w:rPr>
        <w:t>Respondent</w:t>
      </w:r>
      <w:r>
        <w:rPr>
          <w:rFonts w:cs="Calibri"/>
          <w:b/>
          <w:bCs/>
          <w:i/>
          <w:iCs/>
        </w:rPr>
        <w:t>.</w:t>
      </w:r>
      <w:r w:rsidRPr="008631C8">
        <w:rPr>
          <w:rFonts w:cs="Calibri"/>
        </w:rPr>
        <w:t xml:space="preserve"> </w:t>
      </w:r>
      <w:r>
        <w:rPr>
          <w:rFonts w:cs="Calibri"/>
        </w:rPr>
        <w:t>A person</w:t>
      </w:r>
      <w:r w:rsidRPr="008631C8">
        <w:rPr>
          <w:rFonts w:cs="Calibri"/>
        </w:rPr>
        <w:t xml:space="preserve"> who</w:t>
      </w:r>
      <w:r>
        <w:rPr>
          <w:rFonts w:cs="Calibri"/>
        </w:rPr>
        <w:t xml:space="preserve"> is alleged to have engaged in</w:t>
      </w:r>
      <w:r w:rsidRPr="008631C8">
        <w:rPr>
          <w:rFonts w:cs="Calibri"/>
        </w:rPr>
        <w:t xml:space="preserve"> conduct that could constitut</w:t>
      </w:r>
      <w:r>
        <w:rPr>
          <w:rFonts w:cs="Calibri"/>
        </w:rPr>
        <w:t xml:space="preserve">e </w:t>
      </w:r>
      <w:r w:rsidRPr="008631C8">
        <w:rPr>
          <w:rFonts w:cs="Calibri"/>
        </w:rPr>
        <w:t>discrimination</w:t>
      </w:r>
      <w:r>
        <w:rPr>
          <w:rFonts w:cs="Calibri"/>
        </w:rPr>
        <w:t xml:space="preserve"> </w:t>
      </w:r>
      <w:r w:rsidRPr="008631C8">
        <w:rPr>
          <w:rFonts w:cs="Calibri"/>
        </w:rPr>
        <w:t>based on a protected characteristic,</w:t>
      </w:r>
      <w:r>
        <w:rPr>
          <w:rFonts w:cs="Calibri"/>
        </w:rPr>
        <w:t xml:space="preserve"> harassment, or retaliation</w:t>
      </w:r>
      <w:r w:rsidRPr="008631C8">
        <w:rPr>
          <w:rFonts w:cs="Calibri"/>
        </w:rPr>
        <w:t xml:space="preserve"> for engaging in a protected activity under this Policy.</w:t>
      </w:r>
    </w:p>
    <w:p w14:paraId="2530C64E" w14:textId="77777777" w:rsidR="00901191" w:rsidRDefault="00901191" w:rsidP="00901191">
      <w:pPr>
        <w:pStyle w:val="ListParagraph"/>
        <w:numPr>
          <w:ilvl w:val="0"/>
          <w:numId w:val="65"/>
        </w:numPr>
        <w:spacing w:after="160"/>
        <w:contextualSpacing w:val="0"/>
        <w:rPr>
          <w:rFonts w:cs="Calibri"/>
        </w:rPr>
      </w:pPr>
      <w:r w:rsidRPr="008808B6">
        <w:rPr>
          <w:rFonts w:cs="Calibri"/>
          <w:b/>
          <w:bCs/>
          <w:i/>
          <w:iCs/>
        </w:rPr>
        <w:t>Sanction</w:t>
      </w:r>
      <w:r>
        <w:rPr>
          <w:rFonts w:cs="Calibri"/>
          <w:b/>
          <w:bCs/>
          <w:i/>
          <w:iCs/>
        </w:rPr>
        <w:t>.</w:t>
      </w:r>
      <w:r>
        <w:rPr>
          <w:rFonts w:cs="Calibri"/>
        </w:rPr>
        <w:t xml:space="preserve"> A</w:t>
      </w:r>
      <w:r w:rsidRPr="008808B6">
        <w:rPr>
          <w:rFonts w:cs="Calibri"/>
        </w:rPr>
        <w:t xml:space="preserve"> consequence imposed on a Respondent who is found to have violated </w:t>
      </w:r>
      <w:proofErr w:type="gramStart"/>
      <w:r w:rsidRPr="008808B6">
        <w:rPr>
          <w:rFonts w:cs="Calibri"/>
        </w:rPr>
        <w:t>this</w:t>
      </w:r>
      <w:proofErr w:type="gramEnd"/>
      <w:r w:rsidRPr="008808B6">
        <w:rPr>
          <w:rFonts w:cs="Calibri"/>
        </w:rPr>
        <w:t xml:space="preserve"> Policy.</w:t>
      </w:r>
    </w:p>
    <w:p w14:paraId="5B346EA8" w14:textId="77777777" w:rsidR="00901191" w:rsidRPr="008808B6" w:rsidRDefault="00901191" w:rsidP="00901191">
      <w:pPr>
        <w:pStyle w:val="ListParagraph"/>
        <w:numPr>
          <w:ilvl w:val="0"/>
          <w:numId w:val="65"/>
        </w:numPr>
        <w:spacing w:after="160"/>
        <w:contextualSpacing w:val="0"/>
        <w:rPr>
          <w:rFonts w:cs="Calibri"/>
        </w:rPr>
      </w:pPr>
      <w:r w:rsidRPr="0026035B">
        <w:rPr>
          <w:b/>
          <w:bCs/>
          <w:i/>
          <w:iCs/>
        </w:rPr>
        <w:t>Sex.</w:t>
      </w:r>
      <w:r>
        <w:t xml:space="preserve"> Sex assigned at birth, sex stereotypes, sex characteristics, pregnancy or related conditions, sexual orientation, and gender identity.</w:t>
      </w:r>
    </w:p>
    <w:p w14:paraId="05861873" w14:textId="77777777" w:rsidR="00901191" w:rsidRPr="0026035B" w:rsidRDefault="00901191" w:rsidP="00901191">
      <w:pPr>
        <w:pStyle w:val="ListParagraph"/>
        <w:numPr>
          <w:ilvl w:val="0"/>
          <w:numId w:val="65"/>
        </w:numPr>
        <w:spacing w:after="160"/>
        <w:contextualSpacing w:val="0"/>
        <w:rPr>
          <w:rFonts w:cs="Calibri"/>
          <w:strike/>
        </w:rPr>
      </w:pPr>
      <w:r w:rsidRPr="00E01283">
        <w:rPr>
          <w:rFonts w:cs="Calibri"/>
          <w:b/>
          <w:bCs/>
          <w:i/>
          <w:iCs/>
        </w:rPr>
        <w:t>Student</w:t>
      </w:r>
      <w:r>
        <w:rPr>
          <w:rFonts w:cs="Calibri"/>
          <w:b/>
          <w:bCs/>
          <w:i/>
          <w:iCs/>
        </w:rPr>
        <w:t>.</w:t>
      </w:r>
      <w:r w:rsidRPr="00E01283">
        <w:rPr>
          <w:rFonts w:cs="Calibri"/>
          <w:b/>
          <w:bCs/>
        </w:rPr>
        <w:t xml:space="preserve"> </w:t>
      </w:r>
      <w:r>
        <w:rPr>
          <w:rFonts w:cs="Calibri"/>
        </w:rPr>
        <w:t>A</w:t>
      </w:r>
      <w:r w:rsidRPr="008631C8">
        <w:rPr>
          <w:rFonts w:cs="Calibri"/>
        </w:rPr>
        <w:t xml:space="preserve">ny </w:t>
      </w:r>
      <w:r>
        <w:rPr>
          <w:rFonts w:cs="Calibri"/>
        </w:rPr>
        <w:t>person</w:t>
      </w:r>
      <w:r w:rsidRPr="008631C8">
        <w:rPr>
          <w:rFonts w:cs="Calibri"/>
        </w:rPr>
        <w:t xml:space="preserve"> </w:t>
      </w:r>
      <w:r>
        <w:rPr>
          <w:rFonts w:cs="Calibri"/>
        </w:rPr>
        <w:t>who has gained</w:t>
      </w:r>
      <w:r w:rsidRPr="008631C8">
        <w:rPr>
          <w:rFonts w:cs="Calibri"/>
        </w:rPr>
        <w:t xml:space="preserve"> admission</w:t>
      </w:r>
      <w:r>
        <w:rPr>
          <w:rFonts w:cs="Calibri"/>
        </w:rPr>
        <w:t>.</w:t>
      </w:r>
    </w:p>
    <w:p w14:paraId="04649918" w14:textId="77777777" w:rsidR="00901191" w:rsidRPr="00B929B1" w:rsidRDefault="00901191" w:rsidP="00901191">
      <w:pPr>
        <w:pStyle w:val="ListParagraph"/>
        <w:numPr>
          <w:ilvl w:val="0"/>
          <w:numId w:val="65"/>
        </w:numPr>
        <w:spacing w:after="160"/>
        <w:contextualSpacing w:val="0"/>
        <w:rPr>
          <w:rFonts w:cs="Calibri"/>
        </w:rPr>
      </w:pPr>
      <w:r w:rsidRPr="00E01283">
        <w:rPr>
          <w:rFonts w:cs="Calibri"/>
          <w:b/>
          <w:bCs/>
          <w:i/>
          <w:iCs/>
        </w:rPr>
        <w:t>Title IX Coordinator</w:t>
      </w:r>
      <w:r>
        <w:rPr>
          <w:rFonts w:cs="Calibri"/>
        </w:rPr>
        <w:t>.</w:t>
      </w:r>
      <w:r w:rsidRPr="008631C8">
        <w:rPr>
          <w:rFonts w:cs="Calibri"/>
        </w:rPr>
        <w:t xml:space="preserve"> </w:t>
      </w:r>
      <w:r>
        <w:rPr>
          <w:rFonts w:cs="Calibri"/>
        </w:rPr>
        <w:t>A</w:t>
      </w:r>
      <w:r w:rsidRPr="008631C8">
        <w:rPr>
          <w:rFonts w:cs="Calibri"/>
        </w:rPr>
        <w:t xml:space="preserve">t least one official designated by the </w:t>
      </w:r>
      <w:r w:rsidRPr="008808B6">
        <w:rPr>
          <w:rFonts w:cs="Calibri"/>
          <w:highlight w:val="lightGray"/>
        </w:rPr>
        <w:t>Recipient</w:t>
      </w:r>
      <w:r w:rsidRPr="008631C8">
        <w:rPr>
          <w:rFonts w:cs="Calibri"/>
        </w:rPr>
        <w:t xml:space="preserve"> to ensure </w:t>
      </w:r>
      <w:r>
        <w:rPr>
          <w:rFonts w:cs="Calibri"/>
        </w:rPr>
        <w:t xml:space="preserve">ultimate oversight of </w:t>
      </w:r>
      <w:r w:rsidRPr="008631C8">
        <w:rPr>
          <w:rFonts w:cs="Calibri"/>
        </w:rPr>
        <w:t xml:space="preserve">compliance with Title IX and the </w:t>
      </w:r>
      <w:r w:rsidRPr="008808B6">
        <w:rPr>
          <w:rFonts w:cs="Calibri"/>
          <w:highlight w:val="lightGray"/>
        </w:rPr>
        <w:t>Recipient</w:t>
      </w:r>
      <w:r w:rsidRPr="008631C8">
        <w:rPr>
          <w:rFonts w:cs="Calibri"/>
        </w:rPr>
        <w:t xml:space="preserve">’s Title IX program. </w:t>
      </w:r>
      <w:r w:rsidRPr="005244F9">
        <w:rPr>
          <w:rFonts w:cs="Calibri"/>
        </w:rPr>
        <w:t>References to the Coordinator throughout th</w:t>
      </w:r>
      <w:r>
        <w:rPr>
          <w:rFonts w:cs="Calibri"/>
        </w:rPr>
        <w:t>e</w:t>
      </w:r>
      <w:r w:rsidRPr="005244F9">
        <w:rPr>
          <w:rFonts w:cs="Calibri"/>
        </w:rPr>
        <w:t xml:space="preserve"> </w:t>
      </w:r>
      <w:r>
        <w:rPr>
          <w:rFonts w:cs="Calibri"/>
        </w:rPr>
        <w:t>P</w:t>
      </w:r>
      <w:r w:rsidRPr="005244F9">
        <w:rPr>
          <w:rFonts w:cs="Calibri"/>
        </w:rPr>
        <w:t xml:space="preserve">olicy may also encompass a </w:t>
      </w:r>
      <w:r w:rsidRPr="00A06A8B">
        <w:rPr>
          <w:rFonts w:cs="Calibri"/>
        </w:rPr>
        <w:t xml:space="preserve">designee </w:t>
      </w:r>
      <w:r w:rsidRPr="00AB75EB">
        <w:rPr>
          <w:rFonts w:cs="Calibri"/>
        </w:rPr>
        <w:t xml:space="preserve">of the </w:t>
      </w:r>
      <w:proofErr w:type="gramStart"/>
      <w:r w:rsidRPr="00AB75EB">
        <w:rPr>
          <w:rFonts w:cs="Calibri"/>
        </w:rPr>
        <w:t>Coordinator</w:t>
      </w:r>
      <w:proofErr w:type="gramEnd"/>
      <w:r w:rsidRPr="00AB75EB">
        <w:rPr>
          <w:rFonts w:cs="Calibri"/>
        </w:rPr>
        <w:t xml:space="preserve"> </w:t>
      </w:r>
      <w:r w:rsidRPr="005244F9">
        <w:rPr>
          <w:rFonts w:cs="Calibri"/>
        </w:rPr>
        <w:t>for specific tasks.</w:t>
      </w:r>
      <w:r w:rsidRPr="00B929B1">
        <w:rPr>
          <w:rFonts w:cs="Calibri"/>
        </w:rPr>
        <w:t xml:space="preserve"> </w:t>
      </w:r>
    </w:p>
    <w:p w14:paraId="2251F2BB" w14:textId="77777777" w:rsidR="00901191" w:rsidRDefault="00901191" w:rsidP="00901191"/>
    <w:p w14:paraId="3CD9AE93" w14:textId="77777777" w:rsidR="00901191" w:rsidRDefault="00901191" w:rsidP="00901191">
      <w:pPr>
        <w:spacing w:after="160" w:line="259" w:lineRule="auto"/>
        <w:rPr>
          <w:rFonts w:cs="Calibri"/>
          <w:b/>
          <w:bCs/>
          <w:u w:val="single"/>
        </w:rPr>
      </w:pPr>
      <w:r>
        <w:br w:type="page"/>
      </w:r>
    </w:p>
    <w:p w14:paraId="060B118D" w14:textId="77777777" w:rsidR="00901191" w:rsidRDefault="00901191" w:rsidP="00901191">
      <w:pPr>
        <w:pStyle w:val="Heading1"/>
        <w:numPr>
          <w:ilvl w:val="0"/>
          <w:numId w:val="0"/>
        </w:numPr>
        <w:jc w:val="center"/>
      </w:pPr>
      <w:bookmarkStart w:id="154" w:name="_Toc168477580"/>
      <w:r>
        <w:lastRenderedPageBreak/>
        <w:t>APPENDIX B: HEARING RESOLUTION PROCESS</w:t>
      </w:r>
      <w:bookmarkEnd w:id="154"/>
    </w:p>
    <w:p w14:paraId="71AD0105" w14:textId="77777777" w:rsidR="00901191" w:rsidRDefault="00901191" w:rsidP="00901191">
      <w:pPr>
        <w:spacing w:after="160" w:line="259" w:lineRule="auto"/>
      </w:pPr>
    </w:p>
    <w:p w14:paraId="150D22DE" w14:textId="10E29415" w:rsidR="00901191" w:rsidRDefault="00901191" w:rsidP="00901191">
      <w:pPr>
        <w:spacing w:after="160" w:line="259" w:lineRule="auto"/>
      </w:pPr>
      <w:r>
        <w:t xml:space="preserve">The Hearing Resolution Process provided in this appendix is for post-secondary </w:t>
      </w:r>
      <w:r w:rsidRPr="00D17136">
        <w:t>institutions that are required to use or choose to offer a live hearing resolution option.</w:t>
      </w:r>
      <w:r>
        <w:t xml:space="preserve"> To adopt this section, replace </w:t>
      </w:r>
      <w:hyperlink w:anchor="ProceduralSection22" w:history="1">
        <w:r w:rsidRPr="00685BA9">
          <w:rPr>
            <w:rStyle w:val="Hyperlink"/>
          </w:rPr>
          <w:t>Procedural Section 22</w:t>
        </w:r>
      </w:hyperlink>
      <w:r>
        <w:t xml:space="preserve">, above, with the text below. </w:t>
      </w:r>
    </w:p>
    <w:p w14:paraId="33FF507A" w14:textId="77777777" w:rsidR="00901191" w:rsidRPr="00263F19" w:rsidRDefault="00901191" w:rsidP="00901191">
      <w:pPr>
        <w:spacing w:after="160" w:line="259" w:lineRule="auto"/>
      </w:pPr>
      <w:r w:rsidRPr="005244F9">
        <w:rPr>
          <w:b/>
          <w:bCs/>
          <w:highlight w:val="lightGray"/>
        </w:rPr>
        <w:t xml:space="preserve">Insert in Place of Section 22 – </w:t>
      </w:r>
      <w:r>
        <w:rPr>
          <w:b/>
          <w:bCs/>
          <w:highlight w:val="lightGray"/>
        </w:rPr>
        <w:t>Hearing Resolution Process</w:t>
      </w:r>
    </w:p>
    <w:p w14:paraId="64BF2A24" w14:textId="77777777" w:rsidR="00901191" w:rsidRPr="0099202B" w:rsidRDefault="00901191" w:rsidP="000817F3">
      <w:pPr>
        <w:pStyle w:val="Heading1"/>
        <w:numPr>
          <w:ilvl w:val="0"/>
          <w:numId w:val="77"/>
        </w:numPr>
      </w:pPr>
      <w:bookmarkStart w:id="155" w:name="_Toc168477581"/>
      <w:r w:rsidRPr="0099202B">
        <w:t>Live Hearing</w:t>
      </w:r>
      <w:r>
        <w:t xml:space="preserve"> Requirements</w:t>
      </w:r>
      <w:bookmarkEnd w:id="155"/>
    </w:p>
    <w:p w14:paraId="14C08E68" w14:textId="77777777" w:rsidR="00901191" w:rsidRDefault="00901191" w:rsidP="00901191"/>
    <w:p w14:paraId="3A23F1C4" w14:textId="77777777" w:rsidR="00901191" w:rsidRDefault="00901191" w:rsidP="00901191">
      <w:pPr>
        <w:ind w:firstLine="360"/>
      </w:pPr>
      <w:r>
        <w:t>The following provisions apply to a live hearing:</w:t>
      </w:r>
    </w:p>
    <w:p w14:paraId="0FFEB8B5" w14:textId="77777777" w:rsidR="00901191" w:rsidRDefault="00901191" w:rsidP="00901191"/>
    <w:p w14:paraId="3A00BCB0" w14:textId="602295E2" w:rsidR="00901191" w:rsidRDefault="00901191" w:rsidP="000817F3">
      <w:pPr>
        <w:pStyle w:val="ListParagraph"/>
        <w:numPr>
          <w:ilvl w:val="0"/>
          <w:numId w:val="73"/>
        </w:numPr>
      </w:pPr>
      <w:r>
        <w:rPr>
          <w:b/>
          <w:bCs/>
        </w:rPr>
        <w:t>Hearing Venue Options and Recordings</w:t>
      </w:r>
      <w:r w:rsidRPr="0026035B">
        <w:rPr>
          <w:b/>
          <w:bCs/>
        </w:rPr>
        <w:t>.</w:t>
      </w:r>
      <w:r>
        <w:t xml:space="preserve"> The live hearing may occur in</w:t>
      </w:r>
      <w:r w:rsidR="00845816">
        <w:t xml:space="preserve"> </w:t>
      </w:r>
      <w:r>
        <w:t xml:space="preserve">person or via video technology. The Decision-maker and Parties must be able to simultaneously see and hear a party or witness while that person is speaking. Both options are considered fair and equitable. Alternative arrangements may also be made at the </w:t>
      </w:r>
      <w:r w:rsidRPr="005244F9">
        <w:rPr>
          <w:highlight w:val="lightGray"/>
        </w:rPr>
        <w:t>Administrator</w:t>
      </w:r>
      <w:r>
        <w:t>’s discretion.</w:t>
      </w:r>
    </w:p>
    <w:p w14:paraId="495389F9" w14:textId="1ADCCBCF" w:rsidR="00901191" w:rsidRDefault="00901191" w:rsidP="000817F3">
      <w:pPr>
        <w:pStyle w:val="ListParagraph"/>
        <w:numPr>
          <w:ilvl w:val="1"/>
          <w:numId w:val="73"/>
        </w:numPr>
      </w:pPr>
      <w:r>
        <w:t xml:space="preserve">The Parties may make a request to the </w:t>
      </w:r>
      <w:r w:rsidRPr="005244F9">
        <w:rPr>
          <w:highlight w:val="lightGray"/>
        </w:rPr>
        <w:t>Administrator</w:t>
      </w:r>
      <w:r>
        <w:t xml:space="preserve"> that the hearing occur in</w:t>
      </w:r>
      <w:r w:rsidR="00845816">
        <w:t xml:space="preserve"> </w:t>
      </w:r>
      <w:r>
        <w:t xml:space="preserve">person or via video technology, but they must do so at least </w:t>
      </w:r>
      <w:r w:rsidRPr="009F4ABE">
        <w:rPr>
          <w:highlight w:val="lightGray"/>
        </w:rPr>
        <w:t>three (3) business days</w:t>
      </w:r>
      <w:r w:rsidRPr="00D17136">
        <w:t xml:space="preserve"> prior</w:t>
      </w:r>
      <w:r>
        <w:t xml:space="preserve"> to the hearing. The </w:t>
      </w:r>
      <w:r w:rsidRPr="005244F9">
        <w:rPr>
          <w:highlight w:val="lightGray"/>
        </w:rPr>
        <w:t>Administrator</w:t>
      </w:r>
      <w:r>
        <w:t xml:space="preserve"> retains discretion to determine whether the hearing will occur in</w:t>
      </w:r>
      <w:r w:rsidR="00845816">
        <w:t xml:space="preserve"> </w:t>
      </w:r>
      <w:r>
        <w:t xml:space="preserve">person or via video technology. </w:t>
      </w:r>
    </w:p>
    <w:p w14:paraId="24E0EDB9" w14:textId="77777777" w:rsidR="00901191" w:rsidRDefault="00901191" w:rsidP="000817F3">
      <w:pPr>
        <w:pStyle w:val="ListParagraph"/>
        <w:numPr>
          <w:ilvl w:val="1"/>
          <w:numId w:val="73"/>
        </w:numPr>
      </w:pPr>
      <w:r>
        <w:t xml:space="preserve">All hearings will be </w:t>
      </w:r>
      <w:r w:rsidRPr="005244F9">
        <w:t>recorded</w:t>
      </w:r>
      <w:r>
        <w:t xml:space="preserve">, and Parties may request a copy of the recording from the </w:t>
      </w:r>
      <w:r w:rsidRPr="005244F9">
        <w:rPr>
          <w:highlight w:val="lightGray"/>
        </w:rPr>
        <w:t>Administrator</w:t>
      </w:r>
      <w:r>
        <w:t xml:space="preserve"> following the live hearing.</w:t>
      </w:r>
    </w:p>
    <w:p w14:paraId="640CAAFF" w14:textId="77777777" w:rsidR="00901191" w:rsidRDefault="00901191" w:rsidP="000817F3">
      <w:pPr>
        <w:pStyle w:val="ListParagraph"/>
        <w:numPr>
          <w:ilvl w:val="1"/>
          <w:numId w:val="73"/>
        </w:numPr>
      </w:pPr>
      <w:r>
        <w:t xml:space="preserve">No unauthorized recordings are permitted. </w:t>
      </w:r>
    </w:p>
    <w:p w14:paraId="5508DBD7" w14:textId="77777777" w:rsidR="00901191" w:rsidRDefault="00901191" w:rsidP="000817F3">
      <w:pPr>
        <w:pStyle w:val="ListParagraph"/>
        <w:numPr>
          <w:ilvl w:val="0"/>
          <w:numId w:val="67"/>
        </w:numPr>
        <w:rPr>
          <w:b/>
          <w:bCs/>
        </w:rPr>
      </w:pPr>
      <w:r>
        <w:rPr>
          <w:b/>
          <w:bCs/>
        </w:rPr>
        <w:t>Hearing Participants.</w:t>
      </w:r>
      <w:r w:rsidDel="00A15F54">
        <w:rPr>
          <w:b/>
        </w:rPr>
        <w:t xml:space="preserve"> </w:t>
      </w:r>
      <w:r>
        <w:t>Persons who may be present for a hearing include the Decision</w:t>
      </w:r>
      <w:r w:rsidRPr="005600AD">
        <w:t>-maker</w:t>
      </w:r>
      <w:r>
        <w:t>(s), h</w:t>
      </w:r>
      <w:r w:rsidRPr="005244F9">
        <w:t xml:space="preserve">earing </w:t>
      </w:r>
      <w:r>
        <w:t>f</w:t>
      </w:r>
      <w:r w:rsidRPr="005244F9">
        <w:t>acilitator</w:t>
      </w:r>
      <w:r>
        <w:t>,</w:t>
      </w:r>
      <w:r w:rsidRPr="005600AD">
        <w:t xml:space="preserve"> Investigator</w:t>
      </w:r>
      <w:r>
        <w:t xml:space="preserve">(s), the Parties and their Advisors, anyone providing authorized </w:t>
      </w:r>
      <w:proofErr w:type="gramStart"/>
      <w:r>
        <w:t>accommodations</w:t>
      </w:r>
      <w:proofErr w:type="gramEnd"/>
      <w:r>
        <w:t>, interpretation, and/or assistive services, and anyone else deemed necessary by the Decision-maker. Witnesses are present only during their portion of the testimony.</w:t>
      </w:r>
    </w:p>
    <w:p w14:paraId="4FE6B3D3" w14:textId="77777777" w:rsidR="00901191" w:rsidRPr="0026035B" w:rsidRDefault="00901191" w:rsidP="000817F3">
      <w:pPr>
        <w:pStyle w:val="ListParagraph"/>
        <w:numPr>
          <w:ilvl w:val="0"/>
          <w:numId w:val="67"/>
        </w:numPr>
        <w:rPr>
          <w:b/>
          <w:bCs/>
        </w:rPr>
      </w:pPr>
      <w:r w:rsidRPr="0026035B">
        <w:rPr>
          <w:b/>
          <w:bCs/>
        </w:rPr>
        <w:t>Advisors</w:t>
      </w:r>
      <w:r>
        <w:rPr>
          <w:b/>
          <w:bCs/>
        </w:rPr>
        <w:t xml:space="preserve">. </w:t>
      </w:r>
      <w:r>
        <w:t xml:space="preserve">The Parties may have the assistance of an Advisor of their choosing at the hearing or can request that the </w:t>
      </w:r>
      <w:r w:rsidRPr="005244F9">
        <w:rPr>
          <w:highlight w:val="lightGray"/>
        </w:rPr>
        <w:t>Recipient</w:t>
      </w:r>
      <w:r>
        <w:t xml:space="preserve"> appoint a trained Advisor for them. Appointed Advisors are not attorneys. If a party wishes to have an attorney as their Advisor, they must locate and pay for that attorney themselves. </w:t>
      </w:r>
      <w:r w:rsidRPr="005244F9">
        <w:rPr>
          <w:highlight w:val="lightGray"/>
        </w:rPr>
        <w:t>[If a party decides not to have an Advisor, they will forfeit the option of asking questions at the hearing]</w:t>
      </w:r>
      <w:r>
        <w:t>.</w:t>
      </w:r>
      <w:r>
        <w:rPr>
          <w:rStyle w:val="FootnoteReference"/>
        </w:rPr>
        <w:footnoteReference w:id="38"/>
      </w:r>
    </w:p>
    <w:p w14:paraId="608D94FE" w14:textId="77777777" w:rsidR="00901191" w:rsidRDefault="00901191" w:rsidP="000817F3">
      <w:pPr>
        <w:pStyle w:val="ListParagraph"/>
        <w:numPr>
          <w:ilvl w:val="1"/>
          <w:numId w:val="67"/>
        </w:numPr>
      </w:pPr>
      <w:r>
        <w:t xml:space="preserve">During the pre-hearing meeting and live hearing, Parties may only be accompanied by their Advisor. No other </w:t>
      </w:r>
      <w:proofErr w:type="gramStart"/>
      <w:r>
        <w:t>persons</w:t>
      </w:r>
      <w:proofErr w:type="gramEnd"/>
      <w:r>
        <w:t xml:space="preserve"> (e.g., additional support persons, advisors, friends, family) may accompany, attend, or listen in on the hearing unless explicitly authorized by the </w:t>
      </w:r>
      <w:r w:rsidRPr="005244F9">
        <w:rPr>
          <w:highlight w:val="lightGray"/>
        </w:rPr>
        <w:t>Administrator</w:t>
      </w:r>
      <w:r>
        <w:t xml:space="preserve">, with each party being provided the same opportunity. </w:t>
      </w:r>
    </w:p>
    <w:p w14:paraId="3299D154" w14:textId="77777777" w:rsidR="00901191" w:rsidRPr="007B7438" w:rsidRDefault="00901191" w:rsidP="000817F3">
      <w:pPr>
        <w:pStyle w:val="ListParagraph"/>
        <w:numPr>
          <w:ilvl w:val="1"/>
          <w:numId w:val="67"/>
        </w:numPr>
      </w:pPr>
      <w:r>
        <w:t xml:space="preserve">Parties and Advisors are permitted to have their phones and a laptop or tablet, but these should only be used during the hearing in a matter consistent with Policy. </w:t>
      </w:r>
    </w:p>
    <w:p w14:paraId="5200636C" w14:textId="77777777" w:rsidR="00901191" w:rsidRPr="005244F9" w:rsidRDefault="00901191" w:rsidP="000817F3">
      <w:pPr>
        <w:pStyle w:val="ListParagraph"/>
        <w:numPr>
          <w:ilvl w:val="1"/>
          <w:numId w:val="67"/>
        </w:numPr>
        <w:rPr>
          <w:highlight w:val="lightGray"/>
        </w:rPr>
      </w:pPr>
      <w:r>
        <w:rPr>
          <w:highlight w:val="lightGray"/>
        </w:rPr>
        <w:lastRenderedPageBreak/>
        <w:t>[</w:t>
      </w:r>
      <w:r w:rsidRPr="005244F9">
        <w:rPr>
          <w:highlight w:val="lightGray"/>
        </w:rPr>
        <w:t xml:space="preserve">During the hearing, all questions that a party wishes to </w:t>
      </w:r>
      <w:r>
        <w:rPr>
          <w:highlight w:val="lightGray"/>
        </w:rPr>
        <w:t>ask</w:t>
      </w:r>
      <w:r w:rsidRPr="005244F9">
        <w:rPr>
          <w:highlight w:val="lightGray"/>
        </w:rPr>
        <w:t xml:space="preserve"> must be posed by the Advisor, not the </w:t>
      </w:r>
      <w:r>
        <w:rPr>
          <w:highlight w:val="lightGray"/>
        </w:rPr>
        <w:t>Parties</w:t>
      </w:r>
      <w:r w:rsidRPr="005244F9">
        <w:rPr>
          <w:highlight w:val="lightGray"/>
        </w:rPr>
        <w:t xml:space="preserve">. </w:t>
      </w:r>
      <w:r w:rsidRPr="005244F9">
        <w:rPr>
          <w:b/>
          <w:bCs/>
          <w:highlight w:val="lightGray"/>
        </w:rPr>
        <w:t>OR</w:t>
      </w:r>
    </w:p>
    <w:p w14:paraId="73F31341" w14:textId="77777777" w:rsidR="00901191" w:rsidRPr="005244F9" w:rsidRDefault="00901191" w:rsidP="000817F3">
      <w:pPr>
        <w:pStyle w:val="ListParagraph"/>
        <w:numPr>
          <w:ilvl w:val="1"/>
          <w:numId w:val="67"/>
        </w:numPr>
        <w:rPr>
          <w:highlight w:val="lightGray"/>
        </w:rPr>
      </w:pPr>
      <w:r w:rsidRPr="005244F9">
        <w:rPr>
          <w:highlight w:val="lightGray"/>
        </w:rPr>
        <w:t xml:space="preserve">All questions during the hearing will be asked by the Decision-maker. </w:t>
      </w:r>
      <w:r>
        <w:rPr>
          <w:highlight w:val="lightGray"/>
        </w:rPr>
        <w:t>Parties</w:t>
      </w:r>
      <w:r w:rsidRPr="005244F9">
        <w:rPr>
          <w:highlight w:val="lightGray"/>
        </w:rPr>
        <w:t xml:space="preserve"> and Advisors may suggest questions to be posed by the Decision-maker during the pre-hearing meetings or by submission of written questions during the hearing. The method of submitting questions to the Decision-maker will be specified by the Decision-maker during the pre-hearing meetings.</w:t>
      </w:r>
      <w:r>
        <w:rPr>
          <w:highlight w:val="lightGray"/>
        </w:rPr>
        <w:t>]</w:t>
      </w:r>
    </w:p>
    <w:p w14:paraId="4F368977" w14:textId="77777777" w:rsidR="00901191" w:rsidRDefault="00901191" w:rsidP="000817F3">
      <w:pPr>
        <w:pStyle w:val="ListParagraph"/>
        <w:numPr>
          <w:ilvl w:val="1"/>
          <w:numId w:val="67"/>
        </w:numPr>
      </w:pPr>
      <w:r>
        <w:rPr>
          <w:highlight w:val="lightGray"/>
        </w:rPr>
        <w:t>[</w:t>
      </w:r>
      <w:r w:rsidRPr="009F4ABE">
        <w:rPr>
          <w:highlight w:val="lightGray"/>
        </w:rPr>
        <w:t xml:space="preserve">If the party does not have an Advisor, the </w:t>
      </w:r>
      <w:r w:rsidRPr="00DE037D">
        <w:rPr>
          <w:highlight w:val="lightGray"/>
        </w:rPr>
        <w:t>Administrator</w:t>
      </w:r>
      <w:r w:rsidRPr="009F4ABE">
        <w:rPr>
          <w:highlight w:val="lightGray"/>
        </w:rPr>
        <w:t xml:space="preserve"> will provide the party with an Advisor for the purpose of Advisor-conducted questioning.]</w:t>
      </w:r>
      <w:r>
        <w:t xml:space="preserve"> </w:t>
      </w:r>
    </w:p>
    <w:p w14:paraId="7A4486F3" w14:textId="77777777" w:rsidR="00901191" w:rsidRDefault="00901191" w:rsidP="000817F3">
      <w:pPr>
        <w:pStyle w:val="ListParagraph"/>
        <w:numPr>
          <w:ilvl w:val="0"/>
          <w:numId w:val="67"/>
        </w:numPr>
      </w:pPr>
      <w:r w:rsidRPr="0026035B">
        <w:rPr>
          <w:b/>
          <w:bCs/>
        </w:rPr>
        <w:t>Impact Statements.</w:t>
      </w:r>
      <w:r>
        <w:t xml:space="preserve"> Each party may submit an impact and/or mitigation statement to the </w:t>
      </w:r>
      <w:r w:rsidRPr="00AF3A31">
        <w:rPr>
          <w:highlight w:val="lightGray"/>
        </w:rPr>
        <w:t>Administrator</w:t>
      </w:r>
      <w:r>
        <w:t xml:space="preserve"> that the Decision-maker will review during any sanction determination. </w:t>
      </w:r>
    </w:p>
    <w:p w14:paraId="31FA079F" w14:textId="77777777" w:rsidR="00901191" w:rsidRDefault="00901191" w:rsidP="000817F3">
      <w:pPr>
        <w:pStyle w:val="ListParagraph"/>
        <w:numPr>
          <w:ilvl w:val="1"/>
          <w:numId w:val="67"/>
        </w:numPr>
      </w:pPr>
      <w:r>
        <w:t xml:space="preserve">Upon receipt of an impact and/or mitigation statement, the </w:t>
      </w:r>
      <w:r w:rsidRPr="005244F9">
        <w:rPr>
          <w:highlight w:val="lightGray"/>
        </w:rPr>
        <w:t>Administrator</w:t>
      </w:r>
      <w:r>
        <w:t xml:space="preserve"> will review the impact/mitigation statement to determine whether any immediate needs exist. </w:t>
      </w:r>
    </w:p>
    <w:p w14:paraId="6003359A" w14:textId="77777777" w:rsidR="00901191" w:rsidRDefault="00901191" w:rsidP="000817F3">
      <w:pPr>
        <w:pStyle w:val="ListParagraph"/>
        <w:numPr>
          <w:ilvl w:val="1"/>
          <w:numId w:val="67"/>
        </w:numPr>
      </w:pPr>
      <w:r>
        <w:t xml:space="preserve">The </w:t>
      </w:r>
      <w:r w:rsidRPr="005244F9">
        <w:rPr>
          <w:highlight w:val="lightGray"/>
        </w:rPr>
        <w:t>Administrator</w:t>
      </w:r>
      <w:r>
        <w:t xml:space="preserve"> will only provide the impact statements to the Decision-maker if the Decision-maker determines that the Policy has been violated. When the </w:t>
      </w:r>
      <w:r w:rsidRPr="005244F9">
        <w:rPr>
          <w:highlight w:val="lightGray"/>
        </w:rPr>
        <w:t>Administrator</w:t>
      </w:r>
      <w:r>
        <w:t xml:space="preserve"> shares the impact statements with the Decision-maker, they will also be shared with the Parties.</w:t>
      </w:r>
    </w:p>
    <w:p w14:paraId="762C42CA" w14:textId="77777777" w:rsidR="00901191" w:rsidRPr="00A75FD3" w:rsidRDefault="00901191" w:rsidP="000817F3">
      <w:pPr>
        <w:pStyle w:val="ListParagraph"/>
        <w:numPr>
          <w:ilvl w:val="0"/>
          <w:numId w:val="67"/>
        </w:numPr>
      </w:pPr>
      <w:r w:rsidRPr="0026035B">
        <w:rPr>
          <w:b/>
          <w:bCs/>
        </w:rPr>
        <w:t>Disability Accommodations</w:t>
      </w:r>
      <w:r>
        <w:rPr>
          <w:b/>
          <w:bCs/>
        </w:rPr>
        <w:t xml:space="preserve"> and Other Assistance</w:t>
      </w:r>
      <w:r>
        <w:t xml:space="preserve">. Parties should contact the </w:t>
      </w:r>
      <w:r w:rsidRPr="00AF3A31">
        <w:rPr>
          <w:highlight w:val="lightGray"/>
        </w:rPr>
        <w:t>Administrator</w:t>
      </w:r>
      <w:r>
        <w:t xml:space="preserve"> at least </w:t>
      </w:r>
      <w:r w:rsidRPr="009F4ABE">
        <w:rPr>
          <w:highlight w:val="lightGray"/>
        </w:rPr>
        <w:t>three (3) business days</w:t>
      </w:r>
      <w:r>
        <w:t xml:space="preserve"> prior to the hearing to arrange any disability </w:t>
      </w:r>
      <w:proofErr w:type="gramStart"/>
      <w:r>
        <w:t>accommodations</w:t>
      </w:r>
      <w:proofErr w:type="gramEnd"/>
      <w:r>
        <w:t xml:space="preserve">, language assistance, and/or interpretation services that may be needed at the hearing, </w:t>
      </w:r>
      <w:r w:rsidRPr="00A75FD3">
        <w:t xml:space="preserve">if possible. </w:t>
      </w:r>
    </w:p>
    <w:p w14:paraId="1B0B242A" w14:textId="77777777" w:rsidR="00901191" w:rsidRPr="0026035B" w:rsidRDefault="00901191" w:rsidP="000817F3">
      <w:pPr>
        <w:pStyle w:val="ListParagraph"/>
        <w:numPr>
          <w:ilvl w:val="0"/>
          <w:numId w:val="67"/>
        </w:numPr>
      </w:pPr>
      <w:r w:rsidRPr="0026035B">
        <w:rPr>
          <w:b/>
          <w:bCs/>
        </w:rPr>
        <w:t>Conflict</w:t>
      </w:r>
      <w:r>
        <w:rPr>
          <w:b/>
          <w:bCs/>
        </w:rPr>
        <w:t>s</w:t>
      </w:r>
      <w:r w:rsidRPr="0026035B">
        <w:rPr>
          <w:b/>
          <w:bCs/>
        </w:rPr>
        <w:t xml:space="preserve"> of Interest or Bias.</w:t>
      </w:r>
      <w:r>
        <w:t xml:space="preserve"> The Decision-maker must not have a </w:t>
      </w:r>
      <w:r>
        <w:rPr>
          <w:sz w:val="23"/>
          <w:szCs w:val="23"/>
        </w:rPr>
        <w:t>bias for or against complainants or respondents generally or the individual Complainant or Respondent in particular.</w:t>
      </w:r>
    </w:p>
    <w:p w14:paraId="15771E93" w14:textId="77777777" w:rsidR="00901191" w:rsidRPr="0026035B" w:rsidRDefault="00901191" w:rsidP="000817F3">
      <w:pPr>
        <w:pStyle w:val="ListParagraph"/>
        <w:numPr>
          <w:ilvl w:val="1"/>
          <w:numId w:val="67"/>
        </w:numPr>
      </w:pPr>
      <w:r>
        <w:t>The Decision-maker</w:t>
      </w:r>
      <w:r>
        <w:rPr>
          <w:sz w:val="23"/>
          <w:szCs w:val="23"/>
        </w:rPr>
        <w:t xml:space="preserve"> must recuse themselves if such bias or conflict of interest exists.</w:t>
      </w:r>
    </w:p>
    <w:p w14:paraId="15DCB38A" w14:textId="77777777" w:rsidR="00901191" w:rsidRPr="0026035B" w:rsidRDefault="00901191" w:rsidP="000817F3">
      <w:pPr>
        <w:pStyle w:val="ListParagraph"/>
        <w:numPr>
          <w:ilvl w:val="1"/>
          <w:numId w:val="67"/>
        </w:numPr>
      </w:pPr>
      <w:r>
        <w:rPr>
          <w:sz w:val="23"/>
          <w:szCs w:val="23"/>
        </w:rPr>
        <w:t xml:space="preserve">If the Decision-maker believes there is possible conflict of interest or bias, they will consult with the </w:t>
      </w:r>
      <w:r w:rsidRPr="005244F9">
        <w:rPr>
          <w:sz w:val="23"/>
          <w:szCs w:val="23"/>
          <w:highlight w:val="lightGray"/>
        </w:rPr>
        <w:t>Administrator</w:t>
      </w:r>
      <w:r>
        <w:rPr>
          <w:sz w:val="23"/>
          <w:szCs w:val="23"/>
        </w:rPr>
        <w:t xml:space="preserve"> about possible recusal or removal. </w:t>
      </w:r>
    </w:p>
    <w:p w14:paraId="4EE06935" w14:textId="77777777" w:rsidR="00901191" w:rsidRDefault="00901191" w:rsidP="000817F3">
      <w:pPr>
        <w:pStyle w:val="ListParagraph"/>
        <w:numPr>
          <w:ilvl w:val="1"/>
          <w:numId w:val="67"/>
        </w:numPr>
      </w:pPr>
      <w:r>
        <w:t xml:space="preserve">The Parties may raise challenges that the Decision-maker is biased or has a conflict of interest. The Parties must raise challenges with the </w:t>
      </w:r>
      <w:r w:rsidRPr="005F2EB5">
        <w:rPr>
          <w:highlight w:val="lightGray"/>
        </w:rPr>
        <w:t>Administrator</w:t>
      </w:r>
      <w:r>
        <w:t xml:space="preserve"> within </w:t>
      </w:r>
      <w:r w:rsidRPr="009F4ABE">
        <w:rPr>
          <w:highlight w:val="lightGray"/>
        </w:rPr>
        <w:t>two (2) business days</w:t>
      </w:r>
      <w:r>
        <w:t xml:space="preserve"> of receiving the </w:t>
      </w:r>
      <w:r w:rsidRPr="005244F9">
        <w:t>h</w:t>
      </w:r>
      <w:r w:rsidRPr="00DC5B08">
        <w:t xml:space="preserve">earing </w:t>
      </w:r>
      <w:r w:rsidRPr="005244F9">
        <w:t>n</w:t>
      </w:r>
      <w:r w:rsidRPr="00DC5B08">
        <w:t>otice</w:t>
      </w:r>
      <w:r>
        <w:t xml:space="preserve">. </w:t>
      </w:r>
    </w:p>
    <w:p w14:paraId="1230F950" w14:textId="77777777" w:rsidR="00901191" w:rsidRPr="0026035B" w:rsidRDefault="00901191" w:rsidP="000817F3">
      <w:pPr>
        <w:pStyle w:val="ListParagraph"/>
        <w:numPr>
          <w:ilvl w:val="1"/>
          <w:numId w:val="67"/>
        </w:numPr>
      </w:pPr>
      <w:r>
        <w:t xml:space="preserve">The </w:t>
      </w:r>
      <w:r w:rsidRPr="005F2EB5">
        <w:rPr>
          <w:highlight w:val="lightGray"/>
        </w:rPr>
        <w:t>Administrator</w:t>
      </w:r>
      <w:r>
        <w:t xml:space="preserve"> will only remove and replace a Decision-maker in situations of demonstrated bias or conflicts of interest. Perceptions of bias or conflict are not sufficient to cause removal.</w:t>
      </w:r>
    </w:p>
    <w:p w14:paraId="7BD92A7B" w14:textId="77777777" w:rsidR="00901191" w:rsidRPr="0026035B" w:rsidRDefault="00901191" w:rsidP="000817F3">
      <w:pPr>
        <w:pStyle w:val="ListParagraph"/>
        <w:numPr>
          <w:ilvl w:val="1"/>
          <w:numId w:val="67"/>
        </w:numPr>
      </w:pPr>
      <w:r>
        <w:rPr>
          <w:sz w:val="23"/>
          <w:szCs w:val="23"/>
        </w:rPr>
        <w:t xml:space="preserve">If a Decision-maker recuses themselves as the result of a conflict of interest or bias, or is removed, the </w:t>
      </w:r>
      <w:r w:rsidRPr="005244F9">
        <w:rPr>
          <w:sz w:val="23"/>
          <w:szCs w:val="23"/>
          <w:highlight w:val="lightGray"/>
        </w:rPr>
        <w:t>Administrator</w:t>
      </w:r>
      <w:r>
        <w:rPr>
          <w:sz w:val="23"/>
          <w:szCs w:val="23"/>
        </w:rPr>
        <w:t xml:space="preserve"> will promptly appoint a new Decision-maker who does not have a conflict of interest or bias and notify the Parties accordingly.</w:t>
      </w:r>
    </w:p>
    <w:p w14:paraId="553FA845" w14:textId="77777777" w:rsidR="00901191" w:rsidRPr="004B2F87" w:rsidRDefault="00901191" w:rsidP="000817F3">
      <w:pPr>
        <w:pStyle w:val="ListParagraph"/>
        <w:numPr>
          <w:ilvl w:val="0"/>
          <w:numId w:val="67"/>
        </w:numPr>
      </w:pPr>
      <w:r w:rsidRPr="0026035B">
        <w:rPr>
          <w:b/>
          <w:bCs/>
        </w:rPr>
        <w:t>Evidence</w:t>
      </w:r>
      <w:r>
        <w:rPr>
          <w:b/>
          <w:bCs/>
        </w:rPr>
        <w:t xml:space="preserve"> P</w:t>
      </w:r>
      <w:r w:rsidRPr="0026035B">
        <w:rPr>
          <w:b/>
          <w:bCs/>
        </w:rPr>
        <w:t>rovided to Decision-</w:t>
      </w:r>
      <w:proofErr w:type="gramStart"/>
      <w:r w:rsidRPr="0026035B">
        <w:rPr>
          <w:b/>
          <w:bCs/>
        </w:rPr>
        <w:t>maker</w:t>
      </w:r>
      <w:proofErr w:type="gramEnd"/>
      <w:r w:rsidRPr="0026035B">
        <w:rPr>
          <w:b/>
          <w:bCs/>
        </w:rPr>
        <w:t xml:space="preserve"> and </w:t>
      </w:r>
      <w:r>
        <w:rPr>
          <w:b/>
          <w:bCs/>
        </w:rPr>
        <w:t>Parties</w:t>
      </w:r>
      <w:r w:rsidRPr="0026035B">
        <w:rPr>
          <w:b/>
          <w:bCs/>
        </w:rPr>
        <w:t>.</w:t>
      </w:r>
      <w:r w:rsidRPr="004B2F87">
        <w:t xml:space="preserve"> </w:t>
      </w:r>
    </w:p>
    <w:p w14:paraId="06273503" w14:textId="77777777" w:rsidR="00901191" w:rsidRPr="004B2F87" w:rsidRDefault="00901191" w:rsidP="000817F3">
      <w:pPr>
        <w:pStyle w:val="ListParagraph"/>
        <w:numPr>
          <w:ilvl w:val="1"/>
          <w:numId w:val="67"/>
        </w:numPr>
      </w:pPr>
      <w:r w:rsidRPr="004B2F87">
        <w:t xml:space="preserve">The </w:t>
      </w:r>
      <w:r>
        <w:t>Decision-maker</w:t>
      </w:r>
      <w:r w:rsidRPr="004B2F87">
        <w:t xml:space="preserve"> will be provided electronic copies of the </w:t>
      </w:r>
      <w:r>
        <w:t>Final Investigation Report</w:t>
      </w:r>
      <w:r w:rsidRPr="004B2F87">
        <w:t xml:space="preserve"> and all relevant </w:t>
      </w:r>
      <w:r>
        <w:t xml:space="preserve">but not impermissible </w:t>
      </w:r>
      <w:r w:rsidRPr="004B2F87">
        <w:t xml:space="preserve">evidence, including the names of all </w:t>
      </w:r>
      <w:r>
        <w:t>Parties</w:t>
      </w:r>
      <w:r w:rsidRPr="004B2F87">
        <w:t>, witnesses, and Advisors</w:t>
      </w:r>
      <w:r>
        <w:t>,</w:t>
      </w:r>
      <w:r w:rsidRPr="004B2F87">
        <w:t xml:space="preserve"> at least </w:t>
      </w:r>
      <w:r w:rsidRPr="009F4ABE">
        <w:rPr>
          <w:highlight w:val="lightGray"/>
        </w:rPr>
        <w:t>seven (7) business days</w:t>
      </w:r>
      <w:r w:rsidRPr="00FD20C9">
        <w:t xml:space="preserve"> in</w:t>
      </w:r>
      <w:r w:rsidRPr="004B2F87">
        <w:t xml:space="preserve"> advance of the hearing. </w:t>
      </w:r>
    </w:p>
    <w:p w14:paraId="292974AE" w14:textId="77777777" w:rsidR="00901191" w:rsidRPr="004B2F87" w:rsidRDefault="00901191" w:rsidP="000817F3">
      <w:pPr>
        <w:pStyle w:val="ListParagraph"/>
        <w:numPr>
          <w:ilvl w:val="1"/>
          <w:numId w:val="67"/>
        </w:numPr>
      </w:pPr>
      <w:r w:rsidRPr="004B2F87">
        <w:lastRenderedPageBreak/>
        <w:t xml:space="preserve">The </w:t>
      </w:r>
      <w:r>
        <w:t>Parties</w:t>
      </w:r>
      <w:r w:rsidRPr="004B2F87">
        <w:t xml:space="preserve"> will be provided with electronic copies of all the materials provided to the </w:t>
      </w:r>
      <w:r>
        <w:t>Decision-maker</w:t>
      </w:r>
      <w:r w:rsidRPr="004B2F87">
        <w:t xml:space="preserve"> as part of the </w:t>
      </w:r>
      <w:r w:rsidRPr="005244F9">
        <w:t>h</w:t>
      </w:r>
      <w:r w:rsidRPr="00DC5B08">
        <w:t xml:space="preserve">earing </w:t>
      </w:r>
      <w:r w:rsidRPr="005244F9">
        <w:t>n</w:t>
      </w:r>
      <w:r w:rsidRPr="00DC5B08">
        <w:t>otice,</w:t>
      </w:r>
      <w:r w:rsidRPr="004B2F87">
        <w:t xml:space="preserve"> unless those materials have already been provided.</w:t>
      </w:r>
      <w:r w:rsidRPr="004B2F87">
        <w:rPr>
          <w:rStyle w:val="FootnoteReference"/>
        </w:rPr>
        <w:footnoteReference w:id="39"/>
      </w:r>
      <w:r w:rsidRPr="004B2F87">
        <w:t xml:space="preserve"> </w:t>
      </w:r>
    </w:p>
    <w:p w14:paraId="366E00B7" w14:textId="77777777" w:rsidR="00901191" w:rsidRDefault="00901191" w:rsidP="00901191">
      <w:pPr>
        <w:ind w:left="360"/>
        <w:rPr>
          <w:highlight w:val="lightGray"/>
        </w:rPr>
      </w:pPr>
    </w:p>
    <w:p w14:paraId="351E4D97" w14:textId="77777777" w:rsidR="00901191" w:rsidRPr="005244F9" w:rsidRDefault="00901191" w:rsidP="00901191">
      <w:pPr>
        <w:pStyle w:val="Heading1"/>
        <w:ind w:left="720"/>
      </w:pPr>
      <w:bookmarkStart w:id="156" w:name="_Toc168477582"/>
      <w:r w:rsidRPr="005244F9">
        <w:t>Hearing</w:t>
      </w:r>
      <w:r>
        <w:t xml:space="preserve"> Notice</w:t>
      </w:r>
      <w:bookmarkEnd w:id="156"/>
    </w:p>
    <w:p w14:paraId="66935CEA" w14:textId="77777777" w:rsidR="00901191" w:rsidRPr="005244F9" w:rsidRDefault="00901191" w:rsidP="00901191">
      <w:pPr>
        <w:ind w:left="360"/>
      </w:pPr>
    </w:p>
    <w:p w14:paraId="3E606CA7" w14:textId="77777777" w:rsidR="00901191" w:rsidRPr="005244F9" w:rsidRDefault="00901191" w:rsidP="00901191">
      <w:pPr>
        <w:pStyle w:val="ListParagraph"/>
      </w:pPr>
      <w:r w:rsidRPr="005244F9">
        <w:t xml:space="preserve">The </w:t>
      </w:r>
      <w:r w:rsidRPr="004F1BBC">
        <w:rPr>
          <w:highlight w:val="lightGray"/>
        </w:rPr>
        <w:t>Administrator</w:t>
      </w:r>
      <w:r w:rsidRPr="005244F9">
        <w:t xml:space="preserve"> will send the Parties a Notice of Hearing with sufficient time for the Parties to prepare for the hearing, typically at least </w:t>
      </w:r>
      <w:r w:rsidRPr="009F4ABE">
        <w:rPr>
          <w:highlight w:val="lightGray"/>
        </w:rPr>
        <w:t>seven (7) business days</w:t>
      </w:r>
      <w:r w:rsidRPr="005244F9">
        <w:t xml:space="preserve"> prior to the hearing. Once mailed, emailed, and/or received in</w:t>
      </w:r>
      <w:r>
        <w:t>-</w:t>
      </w:r>
      <w:r w:rsidRPr="005244F9">
        <w:t>person, notice will be presumptively delivered.</w:t>
      </w:r>
      <w:r>
        <w:t xml:space="preserve"> The </w:t>
      </w:r>
      <w:r w:rsidRPr="005244F9">
        <w:t>h</w:t>
      </w:r>
      <w:r w:rsidRPr="00DC5B08">
        <w:t xml:space="preserve">earing </w:t>
      </w:r>
      <w:r w:rsidRPr="005244F9">
        <w:t>n</w:t>
      </w:r>
      <w:r w:rsidRPr="00DC5B08">
        <w:t>otice</w:t>
      </w:r>
      <w:r>
        <w:t xml:space="preserve"> includes:</w:t>
      </w:r>
    </w:p>
    <w:p w14:paraId="14350EDF" w14:textId="77777777" w:rsidR="00901191" w:rsidRPr="005244F9" w:rsidRDefault="00901191" w:rsidP="000817F3">
      <w:pPr>
        <w:pStyle w:val="ListParagraph"/>
        <w:numPr>
          <w:ilvl w:val="1"/>
          <w:numId w:val="67"/>
        </w:numPr>
      </w:pPr>
      <w:r w:rsidRPr="005244F9">
        <w:t>A description of the alleged violation(s), a list of all policies allegedly violated, a description of the applicable hearing procedures, and a statement of the potential sanctions/responsive actions that could result.</w:t>
      </w:r>
    </w:p>
    <w:p w14:paraId="5288506F" w14:textId="77777777" w:rsidR="00901191" w:rsidRPr="005244F9" w:rsidRDefault="00901191" w:rsidP="000817F3">
      <w:pPr>
        <w:pStyle w:val="ListParagraph"/>
        <w:numPr>
          <w:ilvl w:val="1"/>
          <w:numId w:val="67"/>
        </w:numPr>
      </w:pPr>
      <w:r w:rsidRPr="005244F9">
        <w:t>The time, date, and location of the hearing.</w:t>
      </w:r>
    </w:p>
    <w:p w14:paraId="5282A0D8" w14:textId="77777777" w:rsidR="00901191" w:rsidRPr="005244F9" w:rsidRDefault="00901191" w:rsidP="000817F3">
      <w:pPr>
        <w:pStyle w:val="ListParagraph"/>
        <w:numPr>
          <w:ilvl w:val="1"/>
          <w:numId w:val="67"/>
        </w:numPr>
      </w:pPr>
      <w:r w:rsidRPr="005244F9">
        <w:t xml:space="preserve">A description of any technology that will be used to facilitate </w:t>
      </w:r>
      <w:proofErr w:type="gramStart"/>
      <w:r w:rsidRPr="005244F9">
        <w:t>the hearing</w:t>
      </w:r>
      <w:proofErr w:type="gramEnd"/>
      <w:r w:rsidRPr="005244F9">
        <w:t>.</w:t>
      </w:r>
    </w:p>
    <w:p w14:paraId="7861553C" w14:textId="77777777" w:rsidR="00901191" w:rsidRPr="005244F9" w:rsidRDefault="00901191" w:rsidP="000817F3">
      <w:pPr>
        <w:pStyle w:val="ListParagraph"/>
        <w:numPr>
          <w:ilvl w:val="1"/>
          <w:numId w:val="67"/>
        </w:numPr>
      </w:pPr>
      <w:r>
        <w:t>R</w:t>
      </w:r>
      <w:r w:rsidRPr="005244F9">
        <w:t xml:space="preserve">elevant information regarding hearing logistics, pre-hearing meetings, the </w:t>
      </w:r>
      <w:r>
        <w:t>F</w:t>
      </w:r>
      <w:r w:rsidRPr="005244F9">
        <w:t xml:space="preserve">inal </w:t>
      </w:r>
      <w:r>
        <w:t>I</w:t>
      </w:r>
      <w:r w:rsidRPr="005244F9">
        <w:t xml:space="preserve">nvestigation </w:t>
      </w:r>
      <w:r>
        <w:t>R</w:t>
      </w:r>
      <w:r w:rsidRPr="005244F9">
        <w:t>eport, the Parties and witnesses participating in the hearing, the identity of the Decision-maker, details related to questioning, the role of Advisors, impact</w:t>
      </w:r>
      <w:r>
        <w:t>/mitigation</w:t>
      </w:r>
      <w:r w:rsidRPr="005244F9">
        <w:t xml:space="preserve"> statements, and</w:t>
      </w:r>
      <w:r>
        <w:t xml:space="preserve"> how to</w:t>
      </w:r>
      <w:r w:rsidRPr="005244F9">
        <w:t xml:space="preserve"> request </w:t>
      </w:r>
      <w:r>
        <w:t xml:space="preserve">disability </w:t>
      </w:r>
      <w:proofErr w:type="gramStart"/>
      <w:r w:rsidRPr="005244F9">
        <w:t>accommodations</w:t>
      </w:r>
      <w:proofErr w:type="gramEnd"/>
      <w:r>
        <w:t xml:space="preserve"> or other assistance</w:t>
      </w:r>
      <w:r w:rsidRPr="005244F9">
        <w:t>.</w:t>
      </w:r>
    </w:p>
    <w:p w14:paraId="490FC5AC" w14:textId="77777777" w:rsidR="00901191" w:rsidRDefault="00901191" w:rsidP="00901191">
      <w:pPr>
        <w:spacing w:line="259" w:lineRule="auto"/>
        <w:rPr>
          <w:rFonts w:cs="Calibri"/>
          <w:b/>
          <w:bCs/>
          <w:u w:val="single"/>
        </w:rPr>
      </w:pPr>
    </w:p>
    <w:p w14:paraId="7D1F4075" w14:textId="77777777" w:rsidR="00901191" w:rsidRDefault="00901191" w:rsidP="00901191">
      <w:pPr>
        <w:pStyle w:val="Heading1"/>
      </w:pPr>
      <w:bookmarkStart w:id="157" w:name="_Toc168477583"/>
      <w:r>
        <w:t>Witness Participation</w:t>
      </w:r>
      <w:bookmarkEnd w:id="157"/>
    </w:p>
    <w:p w14:paraId="32F8B4B4" w14:textId="77777777" w:rsidR="00901191" w:rsidRDefault="00901191" w:rsidP="00901191">
      <w:pPr>
        <w:pStyle w:val="Heading1"/>
        <w:numPr>
          <w:ilvl w:val="0"/>
          <w:numId w:val="0"/>
        </w:numPr>
      </w:pPr>
    </w:p>
    <w:p w14:paraId="0A391BF6" w14:textId="77777777" w:rsidR="00901191" w:rsidRDefault="00901191" w:rsidP="00901191">
      <w:pPr>
        <w:ind w:left="720"/>
      </w:pPr>
      <w:r>
        <w:t xml:space="preserve">Student witnesses are encouraged to participate in, and make themselves reasonably available for, the hearing. Employee witnesses are expected to participate in, and make themselves reasonably available for, the hearing. Witnesses may participate in-person or via video technology that allows the Decision-maker and the Parties to see and hear the witness while that person is speaking. Witnesses are not permitted to be accompanied by an advisor without express permission </w:t>
      </w:r>
      <w:proofErr w:type="gramStart"/>
      <w:r>
        <w:t>of</w:t>
      </w:r>
      <w:proofErr w:type="gramEnd"/>
      <w:r>
        <w:t xml:space="preserve"> the </w:t>
      </w:r>
      <w:r w:rsidRPr="005244F9">
        <w:rPr>
          <w:highlight w:val="lightGray"/>
        </w:rPr>
        <w:t>Administrator</w:t>
      </w:r>
      <w:r w:rsidRPr="00BA150D">
        <w:t xml:space="preserve">. </w:t>
      </w:r>
      <w:r w:rsidRPr="005244F9">
        <w:t>At the discretion of the Decision-maker, a witness may join by phone if no other reasonable alternative is available.</w:t>
      </w:r>
    </w:p>
    <w:p w14:paraId="4BF2532E" w14:textId="77777777" w:rsidR="00901191" w:rsidRDefault="00901191" w:rsidP="00901191"/>
    <w:p w14:paraId="2A6DE900" w14:textId="77777777" w:rsidR="00901191" w:rsidRDefault="00901191" w:rsidP="00901191">
      <w:pPr>
        <w:ind w:left="720"/>
      </w:pPr>
      <w:r>
        <w:t xml:space="preserve">If any party or witness does not appear at the scheduled hearing, the hearing may be held in their absence. For compelling reasons, the </w:t>
      </w:r>
      <w:r w:rsidRPr="00A137F5">
        <w:rPr>
          <w:highlight w:val="lightGray"/>
        </w:rPr>
        <w:t>Administrator</w:t>
      </w:r>
      <w:r>
        <w:t xml:space="preserve"> may reschedule the hearing. </w:t>
      </w:r>
    </w:p>
    <w:p w14:paraId="55905DF2" w14:textId="77777777" w:rsidR="00901191" w:rsidRDefault="00901191" w:rsidP="00901191"/>
    <w:p w14:paraId="1E70E88E" w14:textId="77777777" w:rsidR="00901191" w:rsidRDefault="00901191" w:rsidP="00901191">
      <w:pPr>
        <w:ind w:left="720"/>
      </w:pPr>
      <w:r>
        <w:t xml:space="preserve">Hearings for possible violations that occur near or after the end of an academic term (assuming the Respondent is still subject to this Policy) and are unable to be resolved prior to the end of term will typically be held immediately after the end of the term, including during the summer, as needed, to meet the </w:t>
      </w:r>
      <w:r w:rsidRPr="005244F9">
        <w:rPr>
          <w:highlight w:val="lightGray"/>
        </w:rPr>
        <w:t>Recipient</w:t>
      </w:r>
      <w:r>
        <w:t xml:space="preserve">’s resolution timeline and </w:t>
      </w:r>
      <w:r>
        <w:lastRenderedPageBreak/>
        <w:t>ensure a prompt resolution. Employees, including Parties and witnesses, who do not have 12-month contracts are still expected to participate in Resolution Processes that occur during months between contracts.</w:t>
      </w:r>
    </w:p>
    <w:p w14:paraId="6C9648AE" w14:textId="77777777" w:rsidR="00901191" w:rsidRDefault="00901191" w:rsidP="00901191"/>
    <w:p w14:paraId="5C6F24C9" w14:textId="77777777" w:rsidR="00901191" w:rsidRDefault="00901191" w:rsidP="00901191">
      <w:pPr>
        <w:ind w:left="720"/>
      </w:pPr>
      <w:r>
        <w:t xml:space="preserve">The </w:t>
      </w:r>
      <w:r w:rsidRPr="005244F9">
        <w:rPr>
          <w:highlight w:val="lightGray"/>
        </w:rPr>
        <w:t>Administrator</w:t>
      </w:r>
      <w:r>
        <w:t xml:space="preserve"> will notify all witnesses of their requested participation in the hearing at least </w:t>
      </w:r>
      <w:r w:rsidRPr="009F4ABE">
        <w:rPr>
          <w:highlight w:val="lightGray"/>
        </w:rPr>
        <w:t>five (5) business days</w:t>
      </w:r>
      <w:r>
        <w:t xml:space="preserve"> prior to the hearing. Witnesses will be present for the hearing only during their testimony.</w:t>
      </w:r>
    </w:p>
    <w:p w14:paraId="2EE30A50" w14:textId="77777777" w:rsidR="00901191" w:rsidRDefault="00901191" w:rsidP="00901191"/>
    <w:p w14:paraId="570F69FD" w14:textId="77777777" w:rsidR="00901191" w:rsidRDefault="00901191" w:rsidP="00901191">
      <w:pPr>
        <w:ind w:left="720"/>
      </w:pPr>
      <w:r>
        <w:t xml:space="preserve">Any witness scheduled to participate in the hearing must have been first interviewed by the Investigator(s), unless: </w:t>
      </w:r>
    </w:p>
    <w:p w14:paraId="05620154" w14:textId="77777777" w:rsidR="00901191" w:rsidRDefault="00901191" w:rsidP="000817F3">
      <w:pPr>
        <w:pStyle w:val="ListParagraph"/>
        <w:numPr>
          <w:ilvl w:val="1"/>
          <w:numId w:val="73"/>
        </w:numPr>
      </w:pPr>
      <w:r>
        <w:t xml:space="preserve">All Parties </w:t>
      </w:r>
      <w:r w:rsidRPr="00850861">
        <w:t xml:space="preserve">and the </w:t>
      </w:r>
      <w:r>
        <w:t>Decision-maker</w:t>
      </w:r>
      <w:r w:rsidRPr="00850861">
        <w:t xml:space="preserve"> assent to the</w:t>
      </w:r>
      <w:r>
        <w:t xml:space="preserve"> new</w:t>
      </w:r>
      <w:r w:rsidRPr="00850861">
        <w:t xml:space="preserve"> witness’s participation in the hearing</w:t>
      </w:r>
      <w:r>
        <w:t xml:space="preserve"> without remanding the complaint back to the investigator, and</w:t>
      </w:r>
      <w:r w:rsidRPr="00850861">
        <w:t xml:space="preserve"> </w:t>
      </w:r>
    </w:p>
    <w:p w14:paraId="1BD9B501" w14:textId="77777777" w:rsidR="00901191" w:rsidRDefault="00901191" w:rsidP="000817F3">
      <w:pPr>
        <w:pStyle w:val="ListParagraph"/>
        <w:numPr>
          <w:ilvl w:val="1"/>
          <w:numId w:val="73"/>
        </w:numPr>
      </w:pPr>
      <w:r>
        <w:t xml:space="preserve">The Decision-maker deems the evidence presented by the new witness to be relevant, not impermissible, and not information already established in the record, and </w:t>
      </w:r>
    </w:p>
    <w:p w14:paraId="0A01B7C4" w14:textId="77777777" w:rsidR="00901191" w:rsidRDefault="00901191" w:rsidP="000817F3">
      <w:pPr>
        <w:pStyle w:val="ListParagraph"/>
        <w:numPr>
          <w:ilvl w:val="1"/>
          <w:numId w:val="73"/>
        </w:numPr>
      </w:pPr>
      <w:r>
        <w:t>The witness’s late involvement was not the result of bad faith by the witness, the Parties, or others.</w:t>
      </w:r>
    </w:p>
    <w:p w14:paraId="7EF389DB" w14:textId="77777777" w:rsidR="00901191" w:rsidRDefault="00901191" w:rsidP="00901191"/>
    <w:p w14:paraId="5FFC847A" w14:textId="77777777" w:rsidR="00901191" w:rsidRDefault="00901191" w:rsidP="00901191">
      <w:pPr>
        <w:ind w:left="720"/>
      </w:pPr>
      <w:r>
        <w:t xml:space="preserve">If the above criteria are not met, but the witness’s evidence is deemed relevant, not impermissible, and not duplicative, the Decision-maker may, at their discretion, engage in any of the following actions: </w:t>
      </w:r>
    </w:p>
    <w:p w14:paraId="75732824" w14:textId="77777777" w:rsidR="00901191" w:rsidRDefault="00901191" w:rsidP="000817F3">
      <w:pPr>
        <w:pStyle w:val="ListParagraph"/>
        <w:numPr>
          <w:ilvl w:val="1"/>
          <w:numId w:val="73"/>
        </w:numPr>
      </w:pPr>
      <w:r>
        <w:t>Delay the hearing.</w:t>
      </w:r>
    </w:p>
    <w:p w14:paraId="5DD7D587" w14:textId="77777777" w:rsidR="00901191" w:rsidRDefault="00901191" w:rsidP="000817F3">
      <w:pPr>
        <w:pStyle w:val="ListParagraph"/>
        <w:numPr>
          <w:ilvl w:val="1"/>
          <w:numId w:val="73"/>
        </w:numPr>
      </w:pPr>
      <w:r>
        <w:t xml:space="preserve">Provide the Parties at least </w:t>
      </w:r>
      <w:r w:rsidRPr="009F4ABE">
        <w:rPr>
          <w:highlight w:val="lightGray"/>
        </w:rPr>
        <w:t>five (5) business days</w:t>
      </w:r>
      <w:r>
        <w:t xml:space="preserve"> to review the relevant portions of the new witness’s statements, if such statements are submitted.</w:t>
      </w:r>
    </w:p>
    <w:p w14:paraId="3C277DFA" w14:textId="77777777" w:rsidR="00901191" w:rsidRDefault="00901191" w:rsidP="000817F3">
      <w:pPr>
        <w:pStyle w:val="ListParagraph"/>
        <w:numPr>
          <w:ilvl w:val="1"/>
          <w:numId w:val="73"/>
        </w:numPr>
      </w:pPr>
      <w:r>
        <w:t>Remand the Complaint back to the Investigator for further investigation or verification.</w:t>
      </w:r>
    </w:p>
    <w:p w14:paraId="5218A2CE" w14:textId="77777777" w:rsidR="00901191" w:rsidRDefault="00901191" w:rsidP="000817F3">
      <w:pPr>
        <w:pStyle w:val="ListParagraph"/>
        <w:numPr>
          <w:ilvl w:val="1"/>
          <w:numId w:val="73"/>
        </w:numPr>
      </w:pPr>
      <w:r>
        <w:t xml:space="preserve">Allow the Parties to review and comment on the testimony of the new witness. </w:t>
      </w:r>
    </w:p>
    <w:p w14:paraId="162AA183" w14:textId="77777777" w:rsidR="00901191" w:rsidRDefault="00901191" w:rsidP="00901191"/>
    <w:p w14:paraId="7C82EEE9" w14:textId="77777777" w:rsidR="00901191" w:rsidRDefault="00901191" w:rsidP="00901191">
      <w:pPr>
        <w:ind w:left="720"/>
      </w:pPr>
      <w:r>
        <w:t>If the evidence is deemed not relevant or impermissible, the Decision-maker may proceed with the hearing absent the new witness’s participation.</w:t>
      </w:r>
    </w:p>
    <w:p w14:paraId="4614560F" w14:textId="77777777" w:rsidR="00901191" w:rsidRPr="001C325E" w:rsidRDefault="00901191" w:rsidP="00901191"/>
    <w:p w14:paraId="15364934" w14:textId="77777777" w:rsidR="00901191" w:rsidRDefault="00901191" w:rsidP="00901191">
      <w:pPr>
        <w:pStyle w:val="Heading1"/>
      </w:pPr>
      <w:bookmarkStart w:id="158" w:name="_Toc168477584"/>
      <w:r>
        <w:t>Pre-Hearing Meetings</w:t>
      </w:r>
      <w:bookmarkEnd w:id="158"/>
    </w:p>
    <w:p w14:paraId="5EA31BDE" w14:textId="77777777" w:rsidR="00901191" w:rsidRDefault="00901191" w:rsidP="00901191"/>
    <w:p w14:paraId="3270F488" w14:textId="77777777" w:rsidR="00901191" w:rsidRDefault="00901191" w:rsidP="00901191">
      <w:pPr>
        <w:ind w:left="720"/>
      </w:pPr>
      <w:r>
        <w:t xml:space="preserve">The Decision-maker will offer to convene a pre-hearing meeting(s) with </w:t>
      </w:r>
      <w:r w:rsidRPr="007204CF">
        <w:t xml:space="preserve">the Parties </w:t>
      </w:r>
      <w:r w:rsidRPr="005244F9">
        <w:t>and their Advisors</w:t>
      </w:r>
      <w:r>
        <w:t xml:space="preserve"> and invite them to submit the questions or topics they wish to ask or discuss at the hearing. This allows the Decision-maker to consider their relevance ahead of time to avoid any improper evidentiary introduction in the hearing or to provide recommendations for more appropriate phrasing. </w:t>
      </w:r>
    </w:p>
    <w:p w14:paraId="3261D9ED" w14:textId="77777777" w:rsidR="00901191" w:rsidRDefault="00901191" w:rsidP="00901191"/>
    <w:p w14:paraId="6EF22EBD" w14:textId="77777777" w:rsidR="00901191" w:rsidRDefault="00901191" w:rsidP="00901191">
      <w:pPr>
        <w:ind w:left="720"/>
      </w:pPr>
      <w:r>
        <w:t>However, this advance review opportunity does not preclude the Parties from submitting a question at the hearing for the first time or asking for a reconsideration on a Decision-</w:t>
      </w:r>
      <w:proofErr w:type="spellStart"/>
      <w:r>
        <w:t>maker’s</w:t>
      </w:r>
      <w:proofErr w:type="spellEnd"/>
      <w:r>
        <w:t xml:space="preserve"> pre-hearing decision based on any new information or testimony offered at the hearing. The Decision-maker will document and share their rationale for </w:t>
      </w:r>
      <w:r>
        <w:lastRenderedPageBreak/>
        <w:t>any evidence or question exclusion or inclusion, if any, at a pre-hearing meeting with each party.</w:t>
      </w:r>
    </w:p>
    <w:p w14:paraId="5BF7FA1A" w14:textId="77777777" w:rsidR="00901191" w:rsidRDefault="00901191" w:rsidP="00901191"/>
    <w:p w14:paraId="53429195" w14:textId="77777777" w:rsidR="00901191" w:rsidRDefault="00901191" w:rsidP="00901191">
      <w:pPr>
        <w:ind w:left="720"/>
      </w:pPr>
      <w:r>
        <w:t xml:space="preserve">The Decision-maker will work with the Parties to finalize a witness list for the hearing, and the </w:t>
      </w:r>
      <w:r w:rsidRPr="009F4ABE">
        <w:rPr>
          <w:highlight w:val="lightGray"/>
        </w:rPr>
        <w:t>Administrator</w:t>
      </w:r>
      <w:r>
        <w:t xml:space="preserve"> will notify any witnesses of the hearing’s logistics. </w:t>
      </w:r>
      <w:r w:rsidRPr="005244F9">
        <w:t xml:space="preserve">The Decision-maker, </w:t>
      </w:r>
      <w:r w:rsidRPr="005244F9">
        <w:rPr>
          <w:b/>
          <w:bCs/>
        </w:rPr>
        <w:t>only</w:t>
      </w:r>
      <w:r w:rsidRPr="005244F9">
        <w:t xml:space="preserve"> with the agreement of all Parties, may decide in advance of the hearing that certain witnesses do not need to be present if their testimony can be adequately summarized by the Investigator(s) in the </w:t>
      </w:r>
      <w:r>
        <w:t>Final Investigation Report</w:t>
      </w:r>
      <w:r w:rsidRPr="005244F9">
        <w:t xml:space="preserve"> or during the hearing</w:t>
      </w:r>
      <w:r>
        <w:t>, and their presence is not essential to assess their credibility</w:t>
      </w:r>
      <w:r w:rsidRPr="005244F9">
        <w:t>.</w:t>
      </w:r>
      <w:r>
        <w:t xml:space="preserve"> </w:t>
      </w:r>
    </w:p>
    <w:p w14:paraId="3BD7EEAD" w14:textId="77777777" w:rsidR="00901191" w:rsidRDefault="00901191" w:rsidP="00901191"/>
    <w:p w14:paraId="65EC2BC0" w14:textId="77777777" w:rsidR="00901191" w:rsidRDefault="00901191" w:rsidP="00901191">
      <w:pPr>
        <w:ind w:left="720"/>
      </w:pPr>
      <w:r>
        <w:t xml:space="preserve">Pre-hearing meeting(s) </w:t>
      </w:r>
      <w:r w:rsidRPr="005244F9">
        <w:t>will not</w:t>
      </w:r>
      <w:r>
        <w:t xml:space="preserve"> be recorded. The pre-hearing meetings will typically be conducted as separate meetings with each party/Advisor, and can be done remotely, or as a written communication exchange. The Decision-maker will work with the Parties to establish the format and timing of the meetings and will circulate a summary of any rulings made to ensure all Parties and Advisors are aware.</w:t>
      </w:r>
    </w:p>
    <w:p w14:paraId="30575AD7" w14:textId="77777777" w:rsidR="00901191" w:rsidRDefault="00901191" w:rsidP="00901191">
      <w:pPr>
        <w:pStyle w:val="Heading1"/>
        <w:numPr>
          <w:ilvl w:val="0"/>
          <w:numId w:val="0"/>
        </w:numPr>
      </w:pPr>
    </w:p>
    <w:p w14:paraId="2244A7C6" w14:textId="77777777" w:rsidR="00901191" w:rsidRDefault="00901191" w:rsidP="00901191">
      <w:pPr>
        <w:pStyle w:val="Heading1"/>
      </w:pPr>
      <w:bookmarkStart w:id="159" w:name="_Toc168477585"/>
      <w:r>
        <w:t>Hearing Procedures</w:t>
      </w:r>
      <w:bookmarkEnd w:id="159"/>
    </w:p>
    <w:p w14:paraId="3EE51D36" w14:textId="77777777" w:rsidR="00901191" w:rsidRDefault="00901191" w:rsidP="00901191"/>
    <w:p w14:paraId="769E88FD" w14:textId="77777777" w:rsidR="00901191" w:rsidRDefault="00901191" w:rsidP="00901191">
      <w:pPr>
        <w:pStyle w:val="Heading2"/>
      </w:pPr>
      <w:bookmarkStart w:id="160" w:name="_Toc168477586"/>
      <w:r>
        <w:t>Evidentiary Considerations</w:t>
      </w:r>
      <w:bookmarkEnd w:id="160"/>
    </w:p>
    <w:p w14:paraId="3AFA5316" w14:textId="77777777" w:rsidR="00901191" w:rsidRDefault="00901191" w:rsidP="00901191">
      <w:pPr>
        <w:pStyle w:val="ListParagraph"/>
      </w:pPr>
    </w:p>
    <w:p w14:paraId="30525287" w14:textId="77777777" w:rsidR="00901191" w:rsidRDefault="00901191" w:rsidP="00901191">
      <w:pPr>
        <w:ind w:left="720"/>
      </w:pPr>
      <w:r>
        <w:t>The Parties must provide all evidence to the Investigator(s) prior to completing the Final Investigation Report. Evidence offered after that time will be evaluated by the Decision-maker for relevance. If deemed relevant and not impermissible, the Parties and Decision-</w:t>
      </w:r>
      <w:proofErr w:type="gramStart"/>
      <w:r>
        <w:t>maker</w:t>
      </w:r>
      <w:proofErr w:type="gramEnd"/>
      <w:r>
        <w:t xml:space="preserve"> must agree to admit it into the record. If the evidence is deemed not relevant or impermissible, the Decision-maker may proceed with the hearing absent the new evidence.</w:t>
      </w:r>
    </w:p>
    <w:p w14:paraId="6134CF38" w14:textId="77777777" w:rsidR="00901191" w:rsidRDefault="00901191" w:rsidP="00901191">
      <w:pPr>
        <w:pStyle w:val="ListParagraph"/>
      </w:pPr>
    </w:p>
    <w:p w14:paraId="41FE90CD" w14:textId="77777777" w:rsidR="00901191" w:rsidRDefault="00901191" w:rsidP="00901191">
      <w:pPr>
        <w:pStyle w:val="ListParagraph"/>
      </w:pPr>
      <w:r>
        <w:t>The new relevant evidence will be admitted to the record if:</w:t>
      </w:r>
    </w:p>
    <w:p w14:paraId="5E05F32B" w14:textId="77777777" w:rsidR="00901191" w:rsidRDefault="00901191" w:rsidP="000817F3">
      <w:pPr>
        <w:pStyle w:val="ListParagraph"/>
        <w:numPr>
          <w:ilvl w:val="1"/>
          <w:numId w:val="73"/>
        </w:numPr>
      </w:pPr>
      <w:r>
        <w:t xml:space="preserve">All Parties </w:t>
      </w:r>
      <w:r w:rsidRPr="00850861">
        <w:t xml:space="preserve">and the </w:t>
      </w:r>
      <w:r>
        <w:t>Decision-maker</w:t>
      </w:r>
      <w:r w:rsidRPr="00850861">
        <w:t xml:space="preserve"> assent to </w:t>
      </w:r>
      <w:r>
        <w:t xml:space="preserve">the new evidence being included </w:t>
      </w:r>
      <w:r w:rsidRPr="00850861">
        <w:t>in the hearing</w:t>
      </w:r>
      <w:r>
        <w:t xml:space="preserve"> without remanding the Complaint back to the investigator, and</w:t>
      </w:r>
    </w:p>
    <w:p w14:paraId="254EABA3" w14:textId="77777777" w:rsidR="00901191" w:rsidRDefault="00901191" w:rsidP="000817F3">
      <w:pPr>
        <w:pStyle w:val="ListParagraph"/>
        <w:numPr>
          <w:ilvl w:val="1"/>
          <w:numId w:val="73"/>
        </w:numPr>
      </w:pPr>
      <w:r>
        <w:t>The evidence is not duplicative of evidence already in the record, and</w:t>
      </w:r>
    </w:p>
    <w:p w14:paraId="561B5F16" w14:textId="77777777" w:rsidR="00901191" w:rsidRDefault="00901191" w:rsidP="000817F3">
      <w:pPr>
        <w:pStyle w:val="ListParagraph"/>
        <w:numPr>
          <w:ilvl w:val="1"/>
          <w:numId w:val="73"/>
        </w:numPr>
      </w:pPr>
      <w:r>
        <w:t>It is not impermissible, and</w:t>
      </w:r>
    </w:p>
    <w:p w14:paraId="731BA4C8" w14:textId="77777777" w:rsidR="00901191" w:rsidRDefault="00901191" w:rsidP="000817F3">
      <w:pPr>
        <w:pStyle w:val="ListParagraph"/>
        <w:numPr>
          <w:ilvl w:val="1"/>
          <w:numId w:val="73"/>
        </w:numPr>
      </w:pPr>
      <w:r>
        <w:t>The new evidence was either not reasonably available prior to the conclusion of the Final Investigation Report, or the failure to provide it in a timely manner was not the result of bad faith by the Parties, witnesses, or others.</w:t>
      </w:r>
    </w:p>
    <w:p w14:paraId="068D8C0A" w14:textId="77777777" w:rsidR="00901191" w:rsidRDefault="00901191" w:rsidP="00901191"/>
    <w:p w14:paraId="7F420703" w14:textId="77777777" w:rsidR="00901191" w:rsidRDefault="00901191" w:rsidP="00901191">
      <w:pPr>
        <w:ind w:left="720"/>
      </w:pPr>
      <w:r>
        <w:t xml:space="preserve">If the above criteria are not met, but the evidence is deemed materially relevant and not duplicative, the Decision-maker may, at their discretion, engage in any of the following actions: </w:t>
      </w:r>
    </w:p>
    <w:p w14:paraId="231404D0" w14:textId="77777777" w:rsidR="00901191" w:rsidRDefault="00901191" w:rsidP="000817F3">
      <w:pPr>
        <w:pStyle w:val="ListParagraph"/>
        <w:numPr>
          <w:ilvl w:val="1"/>
          <w:numId w:val="73"/>
        </w:numPr>
      </w:pPr>
      <w:r>
        <w:t>Delay the hearing.</w:t>
      </w:r>
    </w:p>
    <w:p w14:paraId="520969D1" w14:textId="77777777" w:rsidR="00901191" w:rsidRDefault="00901191" w:rsidP="000817F3">
      <w:pPr>
        <w:pStyle w:val="ListParagraph"/>
        <w:numPr>
          <w:ilvl w:val="1"/>
          <w:numId w:val="73"/>
        </w:numPr>
      </w:pPr>
      <w:r>
        <w:t xml:space="preserve">Provide the Parties with at least </w:t>
      </w:r>
      <w:r w:rsidRPr="005244F9">
        <w:rPr>
          <w:highlight w:val="lightGray"/>
        </w:rPr>
        <w:t xml:space="preserve">five </w:t>
      </w:r>
      <w:r w:rsidRPr="00C52023">
        <w:rPr>
          <w:highlight w:val="lightGray"/>
        </w:rPr>
        <w:t xml:space="preserve">(5) </w:t>
      </w:r>
      <w:r w:rsidRPr="005244F9">
        <w:rPr>
          <w:highlight w:val="lightGray"/>
        </w:rPr>
        <w:t>business days</w:t>
      </w:r>
      <w:r>
        <w:t xml:space="preserve"> to review the relevant evidence.</w:t>
      </w:r>
    </w:p>
    <w:p w14:paraId="4E2D50FD" w14:textId="77777777" w:rsidR="00901191" w:rsidRDefault="00901191" w:rsidP="000817F3">
      <w:pPr>
        <w:pStyle w:val="ListParagraph"/>
        <w:numPr>
          <w:ilvl w:val="1"/>
          <w:numId w:val="73"/>
        </w:numPr>
      </w:pPr>
      <w:r>
        <w:t>Remand the Complaint back to the Investigator for further investigation or analysis.</w:t>
      </w:r>
    </w:p>
    <w:p w14:paraId="3B88E07D" w14:textId="77777777" w:rsidR="00901191" w:rsidRDefault="00901191" w:rsidP="000817F3">
      <w:pPr>
        <w:pStyle w:val="ListParagraph"/>
        <w:numPr>
          <w:ilvl w:val="1"/>
          <w:numId w:val="73"/>
        </w:numPr>
      </w:pPr>
      <w:r>
        <w:lastRenderedPageBreak/>
        <w:t>Allow the Parties to review and comment on the new evidence.</w:t>
      </w:r>
    </w:p>
    <w:p w14:paraId="0D18E871" w14:textId="77777777" w:rsidR="00901191" w:rsidRDefault="00901191" w:rsidP="00901191">
      <w:pPr>
        <w:pStyle w:val="ListParagraph"/>
        <w:ind w:left="1440"/>
      </w:pPr>
    </w:p>
    <w:p w14:paraId="0F99E00A" w14:textId="77777777" w:rsidR="00901191" w:rsidRDefault="00901191" w:rsidP="00901191">
      <w:pPr>
        <w:ind w:left="720"/>
      </w:pPr>
      <w:r>
        <w:t>If the evidence is deemed not relevant or impermissible, the Decision-maker may proceed with the hearing without allowing the new evidence.</w:t>
      </w:r>
    </w:p>
    <w:p w14:paraId="1D34A0D3" w14:textId="77777777" w:rsidR="00901191" w:rsidRDefault="00901191" w:rsidP="00901191">
      <w:pPr>
        <w:ind w:left="720" w:firstLine="720"/>
      </w:pPr>
    </w:p>
    <w:p w14:paraId="070A732E" w14:textId="77777777" w:rsidR="00901191" w:rsidRDefault="00901191" w:rsidP="00901191">
      <w:pPr>
        <w:pStyle w:val="Heading2"/>
      </w:pPr>
      <w:bookmarkStart w:id="161" w:name="_Toc168477587"/>
      <w:r w:rsidRPr="008314DD">
        <w:t>Collateral Misconduct</w:t>
      </w:r>
      <w:bookmarkEnd w:id="161"/>
      <w:r>
        <w:t xml:space="preserve"> </w:t>
      </w:r>
    </w:p>
    <w:p w14:paraId="36F16BDA" w14:textId="77777777" w:rsidR="00901191" w:rsidRPr="0026035B" w:rsidRDefault="00901191" w:rsidP="00901191"/>
    <w:p w14:paraId="66C35040" w14:textId="77777777" w:rsidR="00901191" w:rsidRPr="0026035B" w:rsidRDefault="00901191" w:rsidP="00901191">
      <w:pPr>
        <w:ind w:left="720"/>
      </w:pPr>
      <w:r w:rsidRPr="00C3436A">
        <w:t>The</w:t>
      </w:r>
      <w:r>
        <w:rPr>
          <w:b/>
          <w:bCs/>
        </w:rPr>
        <w:t xml:space="preserve"> </w:t>
      </w:r>
      <w:r>
        <w:t>Decision-maker</w:t>
      </w:r>
      <w:r w:rsidRPr="0026035B">
        <w:t xml:space="preserve"> ha</w:t>
      </w:r>
      <w:r>
        <w:t>s</w:t>
      </w:r>
      <w:r w:rsidRPr="0026035B">
        <w:t xml:space="preserve"> the authority to hear and make determinations on all allegations of discrimination, harassment, retaliation</w:t>
      </w:r>
      <w:r>
        <w:t>, and</w:t>
      </w:r>
      <w:r w:rsidRPr="0026035B">
        <w:t xml:space="preserve"> </w:t>
      </w:r>
      <w:r>
        <w:t>Other Prohibited Behavior</w:t>
      </w:r>
      <w:r w:rsidRPr="0026035B">
        <w:t xml:space="preserve"> </w:t>
      </w:r>
      <w:r>
        <w:t xml:space="preserve">under the Policy </w:t>
      </w:r>
      <w:r w:rsidRPr="0026035B">
        <w:t>and may also hear and make determinations on any additional alleged collateral misconduct that occurred in concert with the discrimination, harassment,</w:t>
      </w:r>
      <w:r>
        <w:t xml:space="preserve"> </w:t>
      </w:r>
      <w:r w:rsidRPr="0026035B">
        <w:t xml:space="preserve">retaliation, </w:t>
      </w:r>
      <w:r>
        <w:t xml:space="preserve">or Other Prohibited Behavior, </w:t>
      </w:r>
      <w:r w:rsidRPr="0026035B">
        <w:t xml:space="preserve">even though those collateral allegations may not specifically fall within the </w:t>
      </w:r>
      <w:r w:rsidRPr="009F4ABE">
        <w:t>Policy</w:t>
      </w:r>
      <w:r w:rsidRPr="00CE3D6B">
        <w:t>.</w:t>
      </w:r>
      <w:r w:rsidRPr="0026035B">
        <w:t xml:space="preserve"> </w:t>
      </w:r>
    </w:p>
    <w:p w14:paraId="6DEAA115" w14:textId="77777777" w:rsidR="00901191" w:rsidRDefault="00901191" w:rsidP="00901191">
      <w:pPr>
        <w:pStyle w:val="Heading2"/>
        <w:numPr>
          <w:ilvl w:val="0"/>
          <w:numId w:val="0"/>
        </w:numPr>
        <w:ind w:left="1080" w:hanging="360"/>
      </w:pPr>
    </w:p>
    <w:p w14:paraId="5D3289CE" w14:textId="77777777" w:rsidR="00901191" w:rsidRDefault="00901191" w:rsidP="00901191">
      <w:pPr>
        <w:pStyle w:val="Heading2"/>
      </w:pPr>
      <w:bookmarkStart w:id="162" w:name="_Toc168477588"/>
      <w:r>
        <w:t>Joint Hearings</w:t>
      </w:r>
      <w:bookmarkEnd w:id="162"/>
    </w:p>
    <w:p w14:paraId="76DD8251" w14:textId="77777777" w:rsidR="00901191" w:rsidRDefault="00901191" w:rsidP="00901191"/>
    <w:p w14:paraId="2ADD5F81" w14:textId="77777777" w:rsidR="00901191" w:rsidRDefault="00901191" w:rsidP="00901191">
      <w:pPr>
        <w:ind w:left="720"/>
      </w:pPr>
      <w:r>
        <w:t>In Complaints involving more than one Respondent and/or involving more than one Complainant accusing the same</w:t>
      </w:r>
      <w:r w:rsidDel="00EB49AA">
        <w:t xml:space="preserve"> </w:t>
      </w:r>
      <w:r>
        <w:t xml:space="preserve">person of substantially similar conduct, the default procedure will be to hear the allegations jointly. </w:t>
      </w:r>
    </w:p>
    <w:p w14:paraId="09A597EE" w14:textId="77777777" w:rsidR="00901191" w:rsidRDefault="00901191" w:rsidP="00901191"/>
    <w:p w14:paraId="30C2448D" w14:textId="77777777" w:rsidR="00901191" w:rsidRDefault="00901191" w:rsidP="00901191">
      <w:pPr>
        <w:ind w:left="720"/>
      </w:pPr>
      <w:r>
        <w:t xml:space="preserve">However, the </w:t>
      </w:r>
      <w:r w:rsidRPr="005244F9">
        <w:rPr>
          <w:highlight w:val="lightGray"/>
        </w:rPr>
        <w:t>Administrator</w:t>
      </w:r>
      <w:r>
        <w:t xml:space="preserve"> may permit the investigation and/or hearings pertinent to each Respondent or Complaint to be conducted separately if there is a compelling reason to do so. In joint hearings, separate determinations of responsibility will be made for each Respondent and/or for each Complaint with respect to each alleged Policy violation.</w:t>
      </w:r>
    </w:p>
    <w:p w14:paraId="27CCACD1" w14:textId="77777777" w:rsidR="00901191" w:rsidRDefault="00901191" w:rsidP="00901191">
      <w:pPr>
        <w:pStyle w:val="Heading2"/>
        <w:numPr>
          <w:ilvl w:val="0"/>
          <w:numId w:val="0"/>
        </w:numPr>
        <w:ind w:left="1080" w:hanging="360"/>
      </w:pPr>
    </w:p>
    <w:p w14:paraId="720E8E5D" w14:textId="77777777" w:rsidR="00901191" w:rsidRDefault="00901191" w:rsidP="00901191">
      <w:pPr>
        <w:pStyle w:val="Heading2"/>
      </w:pPr>
      <w:bookmarkStart w:id="163" w:name="_Toc168477589"/>
      <w:r>
        <w:t>Introductions and Hearing Procedure Explanation</w:t>
      </w:r>
      <w:bookmarkEnd w:id="163"/>
    </w:p>
    <w:p w14:paraId="337867B8" w14:textId="77777777" w:rsidR="00901191" w:rsidRDefault="00901191" w:rsidP="00901191"/>
    <w:p w14:paraId="2D2FC0E8" w14:textId="77777777" w:rsidR="00901191" w:rsidRDefault="00901191" w:rsidP="00901191">
      <w:pPr>
        <w:ind w:left="720"/>
      </w:pPr>
      <w:r>
        <w:t>The Decision-maker will explain the hearing procedures and introduce the participants. The Decision-maker will answer any procedural questions prior to and as they arise throughout the hearing.</w:t>
      </w:r>
    </w:p>
    <w:p w14:paraId="1C084D90" w14:textId="77777777" w:rsidR="00901191" w:rsidRDefault="00901191" w:rsidP="00901191"/>
    <w:p w14:paraId="05945985" w14:textId="77777777" w:rsidR="00901191" w:rsidRDefault="00901191" w:rsidP="00901191">
      <w:pPr>
        <w:pStyle w:val="Heading2"/>
      </w:pPr>
      <w:bookmarkStart w:id="164" w:name="_Toc168477590"/>
      <w:r>
        <w:t>Investigator Presentation of Final Investigation Report</w:t>
      </w:r>
      <w:bookmarkEnd w:id="164"/>
    </w:p>
    <w:p w14:paraId="273AEC61" w14:textId="77777777" w:rsidR="00901191" w:rsidRDefault="00901191" w:rsidP="00901191"/>
    <w:p w14:paraId="1A8B0D66" w14:textId="77777777" w:rsidR="00901191" w:rsidRDefault="00901191" w:rsidP="00901191">
      <w:pPr>
        <w:tabs>
          <w:tab w:val="left" w:pos="4410"/>
        </w:tabs>
        <w:ind w:left="720"/>
      </w:pPr>
      <w:r>
        <w:t>The Investigator(s) will present a summary of the Final Investigation Report, including a review of the facts that are contested and those that are not. The Investigator may be questioned first by the Decision-maker and then by the Parties. The Investigator may attend the duration of the hearing or be excused after their testimony at the Decision-maker’s discretion.</w:t>
      </w:r>
    </w:p>
    <w:p w14:paraId="638DB275" w14:textId="77777777" w:rsidR="00901191" w:rsidRDefault="00901191" w:rsidP="00901191"/>
    <w:p w14:paraId="4E041961" w14:textId="77777777" w:rsidR="00901191" w:rsidRDefault="00901191" w:rsidP="00901191">
      <w:pPr>
        <w:pStyle w:val="Heading2"/>
      </w:pPr>
      <w:bookmarkStart w:id="165" w:name="_Toc168477591"/>
      <w:r>
        <w:t>Testimony and Questioning</w:t>
      </w:r>
      <w:bookmarkEnd w:id="165"/>
    </w:p>
    <w:p w14:paraId="0E4E8724" w14:textId="77777777" w:rsidR="00901191" w:rsidRDefault="00901191" w:rsidP="00901191"/>
    <w:p w14:paraId="75A32EF1" w14:textId="77777777" w:rsidR="00901191" w:rsidRDefault="00901191" w:rsidP="00901191">
      <w:pPr>
        <w:ind w:left="720"/>
      </w:pPr>
      <w:r>
        <w:t xml:space="preserve">The Parties and witnesses may provide relevant information in turn, beginning with the Complainant’s opening statement, then the Respondent’s, and then questioning in the </w:t>
      </w:r>
      <w:r>
        <w:lastRenderedPageBreak/>
        <w:t xml:space="preserve">order determined by the Decision-maker. The Decision-maker will facilitate questioning of the Parties and witnesses first by the Decision-maker and then by the Parties </w:t>
      </w:r>
      <w:r w:rsidRPr="005244F9">
        <w:rPr>
          <w:highlight w:val="lightGray"/>
        </w:rPr>
        <w:t>through the Decision-maker</w:t>
      </w:r>
      <w:r>
        <w:rPr>
          <w:highlight w:val="lightGray"/>
        </w:rPr>
        <w:t xml:space="preserve"> </w:t>
      </w:r>
      <w:r>
        <w:rPr>
          <w:b/>
          <w:bCs/>
          <w:highlight w:val="lightGray"/>
        </w:rPr>
        <w:t xml:space="preserve">OR </w:t>
      </w:r>
      <w:r w:rsidRPr="005244F9">
        <w:rPr>
          <w:highlight w:val="lightGray"/>
        </w:rPr>
        <w:t>through their Advisors.</w:t>
      </w:r>
      <w:r>
        <w:t xml:space="preserve"> </w:t>
      </w:r>
    </w:p>
    <w:p w14:paraId="104CBC9A" w14:textId="77777777" w:rsidR="00901191" w:rsidRDefault="00901191" w:rsidP="00901191"/>
    <w:p w14:paraId="6AEC2CE5" w14:textId="77777777" w:rsidR="00901191" w:rsidRDefault="00901191" w:rsidP="00901191">
      <w:pPr>
        <w:ind w:left="720"/>
      </w:pPr>
      <w:r w:rsidRPr="005244F9">
        <w:rPr>
          <w:highlight w:val="lightGray"/>
        </w:rPr>
        <w:t xml:space="preserve">All questions must be directed toward and asked through the Decision-maker and are subject to a relevance determination before they are asked. The Decision-maker will determine the method by which </w:t>
      </w:r>
      <w:r>
        <w:rPr>
          <w:highlight w:val="lightGray"/>
        </w:rPr>
        <w:t xml:space="preserve">the Parties will submit their </w:t>
      </w:r>
      <w:r w:rsidRPr="005244F9">
        <w:rPr>
          <w:highlight w:val="lightGray"/>
        </w:rPr>
        <w:t>questions to the</w:t>
      </w:r>
      <w:r>
        <w:rPr>
          <w:highlight w:val="lightGray"/>
        </w:rPr>
        <w:t xml:space="preserve"> Decision-maker</w:t>
      </w:r>
      <w:r w:rsidRPr="005244F9">
        <w:rPr>
          <w:highlight w:val="lightGray"/>
        </w:rPr>
        <w:t xml:space="preserve"> for their review and</w:t>
      </w:r>
      <w:r>
        <w:rPr>
          <w:highlight w:val="lightGray"/>
        </w:rPr>
        <w:t>,</w:t>
      </w:r>
      <w:r w:rsidRPr="005244F9">
        <w:rPr>
          <w:highlight w:val="lightGray"/>
        </w:rPr>
        <w:t xml:space="preserve"> if approved, to be posed.</w:t>
      </w:r>
      <w:r>
        <w:t xml:space="preserve"> Questions that the Parties wish to have posed can be questions for that party themselves, another party, or witnesses.</w:t>
      </w:r>
    </w:p>
    <w:p w14:paraId="01833BF1" w14:textId="77777777" w:rsidR="00901191" w:rsidRDefault="00901191" w:rsidP="00901191">
      <w:pPr>
        <w:ind w:left="720"/>
      </w:pPr>
    </w:p>
    <w:p w14:paraId="229F2BA6" w14:textId="77777777" w:rsidR="00901191" w:rsidRDefault="00901191" w:rsidP="00901191">
      <w:pPr>
        <w:ind w:left="720"/>
      </w:pPr>
      <w:r>
        <w:t xml:space="preserve">The Decision-maker will explain any decision to exclude a question as not relevant, or to reframe it for relevance. </w:t>
      </w:r>
    </w:p>
    <w:p w14:paraId="4F5A4164" w14:textId="77777777" w:rsidR="00901191" w:rsidRDefault="00901191" w:rsidP="00901191">
      <w:r>
        <w:t xml:space="preserve"> </w:t>
      </w:r>
    </w:p>
    <w:p w14:paraId="548B869C" w14:textId="77777777" w:rsidR="00901191" w:rsidRDefault="00901191" w:rsidP="00901191">
      <w:pPr>
        <w:ind w:left="720"/>
      </w:pPr>
      <w:r>
        <w:t xml:space="preserve">The Decision-maker will limit or disallow questions they deem not appropriate on the basis that they are irrelevant, unduly repetitious (and thus irrelevant), seek or pertain to impermissible evidence, or are abusive. The Decision-maker has final say on all questions and determinations of relevance and appropriateness. The Decision-maker may consult with legal counsel on any questions of admissibility. </w:t>
      </w:r>
    </w:p>
    <w:p w14:paraId="07B7F8C6" w14:textId="77777777" w:rsidR="00901191" w:rsidRDefault="00901191" w:rsidP="00901191">
      <w:pPr>
        <w:ind w:left="720"/>
      </w:pPr>
    </w:p>
    <w:p w14:paraId="37CF7F33" w14:textId="77777777" w:rsidR="00901191" w:rsidRDefault="00901191" w:rsidP="00901191">
      <w:pPr>
        <w:ind w:left="720"/>
      </w:pPr>
      <w:r w:rsidRPr="005244F9">
        <w:rPr>
          <w:highlight w:val="lightGray"/>
        </w:rPr>
        <w:t>The Decision-maker then poses the questions deemed relevant, not impermissible, and appropriate to the party and/or witness.</w:t>
      </w:r>
    </w:p>
    <w:p w14:paraId="2E4F9501" w14:textId="77777777" w:rsidR="00901191" w:rsidRDefault="00901191" w:rsidP="00901191"/>
    <w:p w14:paraId="3E141A29" w14:textId="77777777" w:rsidR="00901191" w:rsidRDefault="00901191" w:rsidP="00901191">
      <w:pPr>
        <w:ind w:left="720"/>
      </w:pPr>
      <w:r>
        <w:t xml:space="preserve">If the Parties raise an issue of bias or conflict of interest of an Investigator or Decision-maker at the hearing, the Decision-maker may elect to address those issues, consult with legal counsel, refer them to the </w:t>
      </w:r>
      <w:r w:rsidRPr="005244F9">
        <w:rPr>
          <w:highlight w:val="lightGray"/>
        </w:rPr>
        <w:t>Administrator</w:t>
      </w:r>
      <w:r>
        <w:t>, and/or preserve them for appeal. If bias is not an issue at the hearing, the Decision-maker should not permit irrelevant questions that probe for Investigator bias.</w:t>
      </w:r>
    </w:p>
    <w:p w14:paraId="243C65B9" w14:textId="77777777" w:rsidR="00901191" w:rsidRDefault="00901191" w:rsidP="00901191">
      <w:pPr>
        <w:ind w:left="720"/>
      </w:pPr>
    </w:p>
    <w:p w14:paraId="3C1720FB" w14:textId="77777777" w:rsidR="00901191" w:rsidRDefault="00901191" w:rsidP="00901191">
      <w:pPr>
        <w:ind w:left="720"/>
      </w:pPr>
      <w:r>
        <w:t xml:space="preserve">The Decision-maker will allow witnesses who have relevant and not impermissible information to appear at a portion of the hearing to respond to specific questions from the Decision-maker and the Parties, and the witnesses will then be excused. </w:t>
      </w:r>
    </w:p>
    <w:p w14:paraId="5E590E8E" w14:textId="77777777" w:rsidR="00901191" w:rsidRDefault="00901191" w:rsidP="00901191">
      <w:pPr>
        <w:ind w:left="720"/>
      </w:pPr>
    </w:p>
    <w:p w14:paraId="19904178" w14:textId="77777777" w:rsidR="00901191" w:rsidRDefault="00901191" w:rsidP="00901191">
      <w:pPr>
        <w:pStyle w:val="Heading2"/>
      </w:pPr>
      <w:bookmarkStart w:id="166" w:name="_Toc168477592"/>
      <w:r>
        <w:t>Refusal to Submit to Questioning and Inferences</w:t>
      </w:r>
      <w:bookmarkEnd w:id="166"/>
    </w:p>
    <w:p w14:paraId="4E2C50F0" w14:textId="77777777" w:rsidR="00901191" w:rsidRDefault="00901191" w:rsidP="00901191"/>
    <w:p w14:paraId="1529F7CF" w14:textId="77777777" w:rsidR="00901191" w:rsidRDefault="00901191" w:rsidP="00901191">
      <w:pPr>
        <w:ind w:left="720"/>
      </w:pPr>
      <w:r>
        <w:t xml:space="preserve">Any party or student witness may choose not to offer evidence and/or answer questions at the hearing, either because they do not attend the hearing, or because they attend but refuse to participate in some or all questioning. Employee witnesses are required to participate in the hearing if they are reasonably available. The Decision-maker can only rely on the available relevant and not impermissible evidence in making the ultimate determination of responsibility. The Decision-maker may not draw any inference </w:t>
      </w:r>
      <w:r w:rsidRPr="005244F9">
        <w:rPr>
          <w:b/>
          <w:bCs/>
        </w:rPr>
        <w:t xml:space="preserve">solely </w:t>
      </w:r>
      <w:r>
        <w:t xml:space="preserve">from a party’s or </w:t>
      </w:r>
      <w:proofErr w:type="gramStart"/>
      <w:r>
        <w:t>witness’s</w:t>
      </w:r>
      <w:proofErr w:type="gramEnd"/>
      <w:r>
        <w:t xml:space="preserve"> absence from the hearing or refusal to answer any or all questions.</w:t>
      </w:r>
    </w:p>
    <w:p w14:paraId="061473E7" w14:textId="77777777" w:rsidR="00901191" w:rsidRDefault="00901191" w:rsidP="00901191"/>
    <w:p w14:paraId="59AF2521" w14:textId="77777777" w:rsidR="00901191" w:rsidRDefault="00901191" w:rsidP="00901191">
      <w:pPr>
        <w:ind w:left="720"/>
      </w:pPr>
      <w:r w:rsidRPr="005244F9">
        <w:lastRenderedPageBreak/>
        <w:t>An Advisor may not be called as a witness at a hearing to testify to what their advisee has told them during their role as an Advisor unless the party being advised consents to that information being shared.</w:t>
      </w:r>
    </w:p>
    <w:p w14:paraId="2F305661" w14:textId="77777777" w:rsidR="00901191" w:rsidRDefault="00901191" w:rsidP="00901191"/>
    <w:p w14:paraId="6C6E9696" w14:textId="77777777" w:rsidR="00901191" w:rsidRDefault="00901191" w:rsidP="00901191">
      <w:pPr>
        <w:pStyle w:val="Heading2"/>
      </w:pPr>
      <w:bookmarkStart w:id="167" w:name="_Toc168477593"/>
      <w:r>
        <w:t>Hearing Recordings</w:t>
      </w:r>
      <w:bookmarkEnd w:id="167"/>
    </w:p>
    <w:p w14:paraId="6993E00A" w14:textId="77777777" w:rsidR="00901191" w:rsidRDefault="00901191" w:rsidP="00901191"/>
    <w:p w14:paraId="6906E108" w14:textId="77777777" w:rsidR="00901191" w:rsidRDefault="00901191" w:rsidP="00901191">
      <w:pPr>
        <w:ind w:left="720"/>
      </w:pPr>
      <w:r>
        <w:t xml:space="preserve">The </w:t>
      </w:r>
      <w:r w:rsidRPr="005244F9">
        <w:rPr>
          <w:highlight w:val="lightGray"/>
        </w:rPr>
        <w:t>Recipient</w:t>
      </w:r>
      <w:r>
        <w:t xml:space="preserve"> records hearings (but not deliberations) for purposes of review in the event of an appeal. </w:t>
      </w:r>
      <w:r w:rsidRPr="00BA47B6">
        <w:t>No unauthorized audio or video recording of any kind is permitted during</w:t>
      </w:r>
      <w:r>
        <w:t xml:space="preserve"> the hearing. </w:t>
      </w:r>
    </w:p>
    <w:p w14:paraId="47F3E458" w14:textId="77777777" w:rsidR="00901191" w:rsidRDefault="00901191" w:rsidP="00901191"/>
    <w:p w14:paraId="728BE825" w14:textId="77777777" w:rsidR="00901191" w:rsidRDefault="00901191" w:rsidP="00901191">
      <w:pPr>
        <w:ind w:left="720"/>
      </w:pPr>
      <w:r>
        <w:t xml:space="preserve">The Decision-maker, the Parties, their Advisors, Appeal Decision-makers, and other appropriate </w:t>
      </w:r>
      <w:r w:rsidRPr="005244F9">
        <w:rPr>
          <w:highlight w:val="lightGray"/>
        </w:rPr>
        <w:t>Recipient</w:t>
      </w:r>
      <w:r>
        <w:t xml:space="preserve"> officials will be permitted to review the recording or review a transcript of the recording upon request to the </w:t>
      </w:r>
      <w:r w:rsidRPr="00E7435E">
        <w:rPr>
          <w:highlight w:val="lightGray"/>
        </w:rPr>
        <w:t>Administrator</w:t>
      </w:r>
      <w:r>
        <w:t xml:space="preserve">. No unauthorized disclosure, including sharing, copying, or distribution of the recording or transcript, is permitted. </w:t>
      </w:r>
    </w:p>
    <w:p w14:paraId="7C55CE05" w14:textId="77777777" w:rsidR="00901191" w:rsidRDefault="00901191" w:rsidP="00901191"/>
    <w:p w14:paraId="02CD9C51" w14:textId="77777777" w:rsidR="00901191" w:rsidRDefault="00901191" w:rsidP="00901191">
      <w:pPr>
        <w:pStyle w:val="Heading1"/>
      </w:pPr>
      <w:bookmarkStart w:id="168" w:name="_Toc168477594"/>
      <w:r>
        <w:t>Deliberation and Determination</w:t>
      </w:r>
      <w:bookmarkEnd w:id="168"/>
    </w:p>
    <w:p w14:paraId="24F284B4" w14:textId="77777777" w:rsidR="00901191" w:rsidRDefault="00901191" w:rsidP="00901191"/>
    <w:p w14:paraId="06D9A67E" w14:textId="77777777" w:rsidR="00901191" w:rsidRPr="0026035B" w:rsidRDefault="00901191" w:rsidP="00901191">
      <w:pPr>
        <w:ind w:left="720"/>
        <w:rPr>
          <w:strike/>
        </w:rPr>
      </w:pPr>
      <w:r>
        <w:t xml:space="preserve">After closing statements from the Parties, the Decision-maker will deliberate in closed session to determine whether the Respondent is responsible for the alleged Policy violation(s) based on the standard of proof. </w:t>
      </w:r>
      <w:r w:rsidRPr="005244F9">
        <w:t>If a panel is used, a simple majority vote is required to determine the finding</w:t>
      </w:r>
      <w:r>
        <w:t>. Deliberations are not recorded.</w:t>
      </w:r>
    </w:p>
    <w:p w14:paraId="66D4E39F" w14:textId="77777777" w:rsidR="00901191" w:rsidRDefault="00901191" w:rsidP="00901191"/>
    <w:p w14:paraId="102D3F47" w14:textId="77777777" w:rsidR="00901191" w:rsidRPr="00400235" w:rsidRDefault="00901191" w:rsidP="00901191">
      <w:pPr>
        <w:ind w:left="720"/>
      </w:pPr>
      <w:r>
        <w:t xml:space="preserve">When there is a finding of responsibility for one or more of the allegations, the Decision-maker may then consider any previously submitted impact and/or mitigation statement(s) provided by the Parties in determining appropriate sanction(s). </w:t>
      </w:r>
      <w:r w:rsidRPr="005244F9">
        <w:t xml:space="preserve">The </w:t>
      </w:r>
      <w:r w:rsidRPr="005244F9">
        <w:rPr>
          <w:highlight w:val="lightGray"/>
        </w:rPr>
        <w:t>Administrator</w:t>
      </w:r>
      <w:r w:rsidRPr="005244F9">
        <w:t xml:space="preserve"> will ensure that </w:t>
      </w:r>
      <w:r>
        <w:t xml:space="preserve">any submitted statements are exchanged between the Parties if they are viewed by the Decision-maker. Impact/mitigation statements do not influence the finding, they only potentially influence the sanctions. </w:t>
      </w:r>
    </w:p>
    <w:p w14:paraId="32E14B94" w14:textId="77777777" w:rsidR="00901191" w:rsidRDefault="00901191" w:rsidP="00901191"/>
    <w:p w14:paraId="081D3CDE" w14:textId="77777777" w:rsidR="00901191" w:rsidRDefault="00901191" w:rsidP="00901191">
      <w:pPr>
        <w:ind w:left="720"/>
      </w:pPr>
      <w:r>
        <w:t xml:space="preserve">The Decision-maker will then prepare and provide the </w:t>
      </w:r>
      <w:r w:rsidRPr="00E7435E">
        <w:rPr>
          <w:highlight w:val="lightGray"/>
        </w:rPr>
        <w:t>Administrator</w:t>
      </w:r>
      <w:r>
        <w:t xml:space="preserve"> with a written outcome letter detailing all findings and final determinations, the rationale(s) explaining the decision(s), the relevant and not impermissible evidence used in support of the determination(s), the evidence not relied upon in the determination(s), any credibility assessments, and any sanction(s) and rationales explaining the sanction(s).</w:t>
      </w:r>
    </w:p>
    <w:p w14:paraId="64B4CACA" w14:textId="77777777" w:rsidR="00901191" w:rsidRDefault="00901191" w:rsidP="00901191"/>
    <w:p w14:paraId="06D4A5CA" w14:textId="77777777" w:rsidR="00901191" w:rsidRDefault="00901191" w:rsidP="00901191">
      <w:pPr>
        <w:ind w:left="720"/>
      </w:pPr>
      <w:r>
        <w:t xml:space="preserve">This statement is </w:t>
      </w:r>
      <w:r w:rsidRPr="00C37D2A">
        <w:t xml:space="preserve">usually </w:t>
      </w:r>
      <w:r w:rsidRPr="005244F9">
        <w:t>five to fifteen (5-15)</w:t>
      </w:r>
      <w:r w:rsidRPr="00C37D2A">
        <w:t xml:space="preserve"> pages</w:t>
      </w:r>
      <w:r>
        <w:t xml:space="preserve"> in length and is typically submitted to the </w:t>
      </w:r>
      <w:r w:rsidRPr="00E7435E">
        <w:rPr>
          <w:highlight w:val="lightGray"/>
        </w:rPr>
        <w:t>Administrator</w:t>
      </w:r>
      <w:r>
        <w:t xml:space="preserve"> within </w:t>
      </w:r>
      <w:r w:rsidRPr="00047635">
        <w:rPr>
          <w:highlight w:val="lightGray"/>
        </w:rPr>
        <w:t>ten (10) business days</w:t>
      </w:r>
      <w:r>
        <w:t xml:space="preserve"> from the conclusion of the hearing, unless the </w:t>
      </w:r>
      <w:r w:rsidRPr="0026035B">
        <w:rPr>
          <w:highlight w:val="lightGray"/>
        </w:rPr>
        <w:t>Administrator</w:t>
      </w:r>
      <w:r>
        <w:t xml:space="preserve"> grants an extension. The </w:t>
      </w:r>
      <w:r w:rsidRPr="005244F9">
        <w:rPr>
          <w:highlight w:val="lightGray"/>
        </w:rPr>
        <w:t>Administrator</w:t>
      </w:r>
      <w:r>
        <w:t xml:space="preserve"> will notify the Parties of any extension. </w:t>
      </w:r>
    </w:p>
    <w:p w14:paraId="26E8FA45" w14:textId="77777777" w:rsidR="00901191" w:rsidRDefault="00901191" w:rsidP="00901191">
      <w:pPr>
        <w:pStyle w:val="ListParagraph"/>
        <w:ind w:left="1440"/>
      </w:pPr>
    </w:p>
    <w:p w14:paraId="720A494D" w14:textId="77777777" w:rsidR="00901191" w:rsidRDefault="00901191" w:rsidP="00901191">
      <w:bookmarkStart w:id="169" w:name="_Toc82511715"/>
      <w:bookmarkStart w:id="170" w:name="_Toc102394037"/>
    </w:p>
    <w:p w14:paraId="0FAAFD32" w14:textId="77777777" w:rsidR="00901191" w:rsidRPr="003025A2" w:rsidRDefault="00901191" w:rsidP="00901191"/>
    <w:p w14:paraId="2DC02222" w14:textId="77777777" w:rsidR="00901191" w:rsidRDefault="00901191" w:rsidP="00901191">
      <w:pPr>
        <w:spacing w:after="160" w:line="259" w:lineRule="auto"/>
        <w:rPr>
          <w:rFonts w:cs="Calibri"/>
          <w:b/>
          <w:bCs/>
          <w:u w:val="single"/>
        </w:rPr>
      </w:pPr>
      <w:r>
        <w:br w:type="page"/>
      </w:r>
    </w:p>
    <w:p w14:paraId="3EEA4A51" w14:textId="77777777" w:rsidR="00901191" w:rsidRPr="005244F9" w:rsidRDefault="00901191" w:rsidP="00901191">
      <w:pPr>
        <w:pStyle w:val="Heading1"/>
        <w:numPr>
          <w:ilvl w:val="0"/>
          <w:numId w:val="0"/>
        </w:numPr>
        <w:spacing w:after="160" w:line="259" w:lineRule="auto"/>
        <w:ind w:left="360" w:hanging="360"/>
        <w:jc w:val="center"/>
      </w:pPr>
      <w:bookmarkStart w:id="171" w:name="_Toc82511716"/>
      <w:bookmarkStart w:id="172" w:name="_Toc102394038"/>
      <w:bookmarkStart w:id="173" w:name="_Toc168477595"/>
      <w:bookmarkEnd w:id="169"/>
      <w:bookmarkEnd w:id="170"/>
      <w:r w:rsidRPr="005244F9">
        <w:lastRenderedPageBreak/>
        <w:t>APPENDIX C: ATIXA’S INFORMAL RESOLUTION (IR) FRAMEWORK</w:t>
      </w:r>
      <w:r w:rsidRPr="005244F9">
        <w:rPr>
          <w:rStyle w:val="FootnoteReference"/>
          <w:b w:val="0"/>
          <w:bCs w:val="0"/>
          <w:u w:val="none"/>
        </w:rPr>
        <w:footnoteReference w:id="40"/>
      </w:r>
      <w:bookmarkEnd w:id="171"/>
      <w:bookmarkEnd w:id="172"/>
      <w:bookmarkEnd w:id="173"/>
    </w:p>
    <w:p w14:paraId="3D31E8B5" w14:textId="77777777" w:rsidR="00901191" w:rsidRPr="005244F9" w:rsidRDefault="00901191" w:rsidP="00901191">
      <w:pPr>
        <w:rPr>
          <w:rFonts w:cs="Calibri"/>
        </w:rPr>
      </w:pPr>
      <w:r w:rsidRPr="005244F9">
        <w:t xml:space="preserve">ATIXA has framed </w:t>
      </w:r>
      <w:r>
        <w:t>an Informal Resolution (IR) process</w:t>
      </w:r>
      <w:r w:rsidRPr="005244F9">
        <w:t xml:space="preserve"> that includes four options:</w:t>
      </w:r>
      <w:r w:rsidRPr="005244F9">
        <w:br/>
      </w:r>
    </w:p>
    <w:p w14:paraId="3EB93515" w14:textId="77777777" w:rsidR="00901191" w:rsidRDefault="00901191" w:rsidP="000817F3">
      <w:pPr>
        <w:pStyle w:val="ListParagraph"/>
        <w:numPr>
          <w:ilvl w:val="0"/>
          <w:numId w:val="72"/>
        </w:numPr>
        <w:tabs>
          <w:tab w:val="left" w:pos="6300"/>
        </w:tabs>
        <w:ind w:left="720"/>
        <w:rPr>
          <w:rFonts w:cs="Calibri"/>
        </w:rPr>
      </w:pPr>
      <w:r w:rsidRPr="005244F9">
        <w:rPr>
          <w:rFonts w:cs="Calibri"/>
          <w:b/>
          <w:bCs/>
        </w:rPr>
        <w:t>Supportive Resolution</w:t>
      </w:r>
      <w:r w:rsidRPr="005244F9">
        <w:rPr>
          <w:rFonts w:cs="Calibri"/>
        </w:rPr>
        <w:t xml:space="preserve">. When the </w:t>
      </w:r>
      <w:r w:rsidRPr="005244F9">
        <w:rPr>
          <w:rFonts w:cs="Calibri"/>
          <w:highlight w:val="lightGray"/>
        </w:rPr>
        <w:t>Administrator</w:t>
      </w:r>
      <w:r w:rsidRPr="005244F9">
        <w:rPr>
          <w:rFonts w:cs="Calibri"/>
        </w:rPr>
        <w:t xml:space="preserve"> can resolve the matter informally by providing supportive measures (only) to remedy the situation</w:t>
      </w:r>
      <w:r>
        <w:rPr>
          <w:rFonts w:cs="Calibri"/>
        </w:rPr>
        <w:t>.</w:t>
      </w:r>
    </w:p>
    <w:p w14:paraId="62362B7C" w14:textId="77777777" w:rsidR="00901191" w:rsidRPr="005244F9" w:rsidRDefault="00901191" w:rsidP="00901191">
      <w:pPr>
        <w:pStyle w:val="ListParagraph"/>
        <w:rPr>
          <w:rFonts w:cs="Calibri"/>
        </w:rPr>
      </w:pPr>
    </w:p>
    <w:p w14:paraId="532F317A" w14:textId="77777777" w:rsidR="00901191" w:rsidRDefault="00901191" w:rsidP="000817F3">
      <w:pPr>
        <w:pStyle w:val="ListParagraph"/>
        <w:numPr>
          <w:ilvl w:val="0"/>
          <w:numId w:val="72"/>
        </w:numPr>
        <w:ind w:left="720"/>
        <w:rPr>
          <w:rFonts w:cs="Calibri"/>
        </w:rPr>
      </w:pPr>
      <w:r w:rsidRPr="005244F9">
        <w:rPr>
          <w:rFonts w:cs="Calibri"/>
          <w:b/>
          <w:bCs/>
        </w:rPr>
        <w:t>Educational Conversation</w:t>
      </w:r>
      <w:r w:rsidRPr="005244F9">
        <w:rPr>
          <w:rFonts w:cs="Calibri"/>
        </w:rPr>
        <w:t xml:space="preserve">. When the </w:t>
      </w:r>
      <w:r w:rsidRPr="005244F9">
        <w:rPr>
          <w:rFonts w:cs="Calibri"/>
          <w:highlight w:val="lightGray"/>
        </w:rPr>
        <w:t>Administrator</w:t>
      </w:r>
      <w:r w:rsidRPr="005244F9">
        <w:rPr>
          <w:rFonts w:cs="Calibri"/>
        </w:rPr>
        <w:t xml:space="preserve"> can resolve the matter informally by having a conversation with the Respondent to discuss the Complainant</w:t>
      </w:r>
      <w:r>
        <w:rPr>
          <w:rFonts w:cs="Calibri"/>
        </w:rPr>
        <w:t>’</w:t>
      </w:r>
      <w:r w:rsidRPr="005244F9">
        <w:rPr>
          <w:rFonts w:cs="Calibri"/>
        </w:rPr>
        <w:t>s concerns and institutional expectations</w:t>
      </w:r>
      <w:r>
        <w:rPr>
          <w:rFonts w:cs="Calibri"/>
        </w:rPr>
        <w:t>.</w:t>
      </w:r>
      <w:r w:rsidRPr="005244F9">
        <w:rPr>
          <w:rFonts w:cs="Calibri"/>
        </w:rPr>
        <w:t xml:space="preserve"> </w:t>
      </w:r>
      <w:r>
        <w:rPr>
          <w:rFonts w:cs="Calibri"/>
        </w:rPr>
        <w:t>(The Complainant can be involved in this conversation if they wish.)</w:t>
      </w:r>
    </w:p>
    <w:p w14:paraId="5489F1B5" w14:textId="77777777" w:rsidR="00901191" w:rsidRPr="005244F9" w:rsidRDefault="00901191" w:rsidP="00901191">
      <w:pPr>
        <w:pStyle w:val="ListParagraph"/>
        <w:rPr>
          <w:rFonts w:cs="Calibri"/>
        </w:rPr>
      </w:pPr>
    </w:p>
    <w:p w14:paraId="4B0A852B" w14:textId="77777777" w:rsidR="00901191" w:rsidRDefault="00901191" w:rsidP="000817F3">
      <w:pPr>
        <w:pStyle w:val="ListParagraph"/>
        <w:numPr>
          <w:ilvl w:val="0"/>
          <w:numId w:val="72"/>
        </w:numPr>
        <w:ind w:left="720"/>
        <w:rPr>
          <w:rFonts w:cs="Calibri"/>
        </w:rPr>
      </w:pPr>
      <w:r w:rsidRPr="005244F9">
        <w:rPr>
          <w:rFonts w:cs="Calibri"/>
          <w:b/>
          <w:bCs/>
        </w:rPr>
        <w:t>Accepted Responsibility</w:t>
      </w:r>
      <w:r w:rsidRPr="005244F9">
        <w:rPr>
          <w:rFonts w:cs="Calibri"/>
        </w:rPr>
        <w:t xml:space="preserve">. When the Respondent accepts responsibility for violating </w:t>
      </w:r>
      <w:r>
        <w:rPr>
          <w:rFonts w:cs="Calibri"/>
        </w:rPr>
        <w:t>P</w:t>
      </w:r>
      <w:r w:rsidRPr="005244F9">
        <w:rPr>
          <w:rFonts w:cs="Calibri"/>
        </w:rPr>
        <w:t xml:space="preserve">olicy and </w:t>
      </w:r>
      <w:r>
        <w:rPr>
          <w:rFonts w:cs="Calibri"/>
        </w:rPr>
        <w:t xml:space="preserve">accepts </w:t>
      </w:r>
      <w:r w:rsidRPr="005244F9">
        <w:rPr>
          <w:rFonts w:cs="Calibri"/>
        </w:rPr>
        <w:t>the recommended sanction(s), and the Complainant(s) and Recipient are agreeable to the resolution</w:t>
      </w:r>
      <w:r>
        <w:rPr>
          <w:rFonts w:cs="Calibri"/>
        </w:rPr>
        <w:t>.</w:t>
      </w:r>
    </w:p>
    <w:p w14:paraId="6DA3A958" w14:textId="77777777" w:rsidR="00901191" w:rsidRPr="005737D3" w:rsidRDefault="00901191" w:rsidP="00901191">
      <w:pPr>
        <w:pStyle w:val="ListParagraph"/>
        <w:rPr>
          <w:rFonts w:cs="Calibri"/>
        </w:rPr>
      </w:pPr>
    </w:p>
    <w:p w14:paraId="3AA4964C" w14:textId="77777777" w:rsidR="00901191" w:rsidRPr="005244F9" w:rsidRDefault="00901191" w:rsidP="000817F3">
      <w:pPr>
        <w:pStyle w:val="ListParagraph"/>
        <w:numPr>
          <w:ilvl w:val="0"/>
          <w:numId w:val="72"/>
        </w:numPr>
        <w:ind w:left="720"/>
        <w:rPr>
          <w:rFonts w:cs="Calibri"/>
        </w:rPr>
      </w:pPr>
      <w:r w:rsidRPr="005244F9">
        <w:rPr>
          <w:rFonts w:cs="Calibri"/>
          <w:b/>
          <w:bCs/>
        </w:rPr>
        <w:t>Alternative Resolution</w:t>
      </w:r>
      <w:r w:rsidRPr="005244F9">
        <w:rPr>
          <w:rFonts w:cs="Calibri"/>
        </w:rPr>
        <w:t>. When the Parties agree to resolve the matter through an alternative resolution mechanism</w:t>
      </w:r>
      <w:r w:rsidRPr="00A2005E">
        <w:rPr>
          <w:rFonts w:cs="Calibri"/>
        </w:rPr>
        <w:t xml:space="preserve">, such as </w:t>
      </w:r>
      <w:r w:rsidRPr="005244F9">
        <w:rPr>
          <w:rFonts w:cs="Calibri"/>
        </w:rPr>
        <w:t>shuttle negotiation, restorative practices, facilitated dialogue, etc., as described below</w:t>
      </w:r>
      <w:r>
        <w:rPr>
          <w:rFonts w:cs="Calibri"/>
        </w:rPr>
        <w:t>.</w:t>
      </w:r>
      <w:r w:rsidRPr="005244F9">
        <w:rPr>
          <w:rFonts w:cs="Calibri"/>
        </w:rPr>
        <w:t xml:space="preserve"> </w:t>
      </w:r>
    </w:p>
    <w:p w14:paraId="5726A8DD" w14:textId="77777777" w:rsidR="00901191" w:rsidRPr="005244F9" w:rsidRDefault="00901191" w:rsidP="00901191">
      <w:pPr>
        <w:spacing w:line="259" w:lineRule="auto"/>
      </w:pPr>
    </w:p>
    <w:p w14:paraId="01291C87" w14:textId="77777777" w:rsidR="00901191" w:rsidRPr="005244F9" w:rsidRDefault="00901191" w:rsidP="00901191">
      <w:pPr>
        <w:spacing w:after="160" w:line="259" w:lineRule="auto"/>
        <w:ind w:left="720"/>
      </w:pPr>
      <w:r w:rsidRPr="005244F9">
        <w:t xml:space="preserve">Alternative resolution approaches are likely to be used more often by post-secondary institutions. ATIXA does not endorse these approaches as better or worse than other formal or informal approaches. </w:t>
      </w:r>
    </w:p>
    <w:p w14:paraId="21380C49" w14:textId="77777777" w:rsidR="00901191" w:rsidRPr="005244F9" w:rsidRDefault="00901191" w:rsidP="00901191">
      <w:pPr>
        <w:spacing w:after="160" w:line="259" w:lineRule="auto"/>
      </w:pPr>
      <w:r w:rsidRPr="005244F9">
        <w:t xml:space="preserve">ATIXA believes that </w:t>
      </w:r>
      <w:r>
        <w:t>for</w:t>
      </w:r>
      <w:r w:rsidRPr="005244F9">
        <w:t xml:space="preserve"> </w:t>
      </w:r>
      <w:r w:rsidRPr="00D435B7">
        <w:t>a</w:t>
      </w:r>
      <w:r>
        <w:t>n IR a</w:t>
      </w:r>
      <w:r w:rsidRPr="00D435B7">
        <w:t>pproach</w:t>
      </w:r>
      <w:r>
        <w:t xml:space="preserve"> to be </w:t>
      </w:r>
      <w:r w:rsidRPr="005244F9">
        <w:t xml:space="preserve">effective </w:t>
      </w:r>
      <w:r>
        <w:t>in</w:t>
      </w:r>
      <w:r w:rsidRPr="005244F9">
        <w:t xml:space="preserve"> addressing discrimination, harassment, and/or retaliation, </w:t>
      </w:r>
      <w:r>
        <w:t xml:space="preserve">it </w:t>
      </w:r>
      <w:r w:rsidRPr="005244F9">
        <w:t>need</w:t>
      </w:r>
      <w:r>
        <w:t xml:space="preserve">s </w:t>
      </w:r>
      <w:r w:rsidRPr="005244F9">
        <w:t xml:space="preserve">to be carefully and thoughtfully designed and executed and </w:t>
      </w:r>
      <w:proofErr w:type="gramStart"/>
      <w:r w:rsidRPr="005244F9">
        <w:t>be facilitated</w:t>
      </w:r>
      <w:proofErr w:type="gramEnd"/>
      <w:r w:rsidRPr="005244F9">
        <w:t xml:space="preserve"> by well-trained personnel who take the necessary time to prepare and lay a foundation for success. Although no approach is a panacea, the framework below can help to lay that foundation, regardless of which approach(es) are used.</w:t>
      </w:r>
    </w:p>
    <w:p w14:paraId="7E3C0A8F" w14:textId="77777777" w:rsidR="00901191" w:rsidRPr="005244F9" w:rsidRDefault="00901191" w:rsidP="00901191">
      <w:pPr>
        <w:spacing w:after="160" w:line="259" w:lineRule="auto"/>
      </w:pPr>
      <w:r w:rsidRPr="005244F9">
        <w:t>Here are the principles to be considered in supporting various approaches to Informal Resolution:</w:t>
      </w:r>
    </w:p>
    <w:p w14:paraId="606E0493" w14:textId="77777777" w:rsidR="00901191" w:rsidRPr="005244F9" w:rsidRDefault="00901191" w:rsidP="000817F3">
      <w:pPr>
        <w:pStyle w:val="ListParagraph"/>
        <w:numPr>
          <w:ilvl w:val="0"/>
          <w:numId w:val="68"/>
        </w:numPr>
        <w:spacing w:after="160" w:line="259" w:lineRule="auto"/>
      </w:pPr>
      <w:r w:rsidRPr="005244F9">
        <w:t>IR can be applied in any discrimination, harassment, retaliation</w:t>
      </w:r>
      <w:r>
        <w:t>, or Other Prohibited Behavior</w:t>
      </w:r>
      <w:r w:rsidRPr="005244F9">
        <w:t xml:space="preserve"> complaint but may not be appropriate or advisable in </w:t>
      </w:r>
      <w:r>
        <w:t xml:space="preserve">all </w:t>
      </w:r>
      <w:r w:rsidRPr="005244F9">
        <w:t xml:space="preserve">matters involving </w:t>
      </w:r>
      <w:r>
        <w:t xml:space="preserve">serious </w:t>
      </w:r>
      <w:r w:rsidRPr="005244F9">
        <w:t>violen</w:t>
      </w:r>
      <w:r>
        <w:t>ce.</w:t>
      </w:r>
    </w:p>
    <w:p w14:paraId="77B25DEE" w14:textId="77777777" w:rsidR="00901191" w:rsidRPr="005244F9" w:rsidRDefault="00901191" w:rsidP="000817F3">
      <w:pPr>
        <w:pStyle w:val="ListParagraph"/>
        <w:numPr>
          <w:ilvl w:val="0"/>
          <w:numId w:val="68"/>
        </w:numPr>
        <w:tabs>
          <w:tab w:val="left" w:pos="8820"/>
        </w:tabs>
        <w:spacing w:after="160" w:line="259" w:lineRule="auto"/>
      </w:pPr>
      <w:r w:rsidRPr="005244F9">
        <w:t>Situations involving dangerous patterns or significant ongoing threat to the community should</w:t>
      </w:r>
      <w:r>
        <w:t xml:space="preserve"> generally</w:t>
      </w:r>
      <w:r w:rsidRPr="005244F9">
        <w:t xml:space="preserve"> not be resolved by IR</w:t>
      </w:r>
      <w:r>
        <w:t>, unless a Respondent is accepting responsibility</w:t>
      </w:r>
      <w:r w:rsidRPr="005244F9">
        <w:t>.</w:t>
      </w:r>
    </w:p>
    <w:p w14:paraId="10CA6E32" w14:textId="77777777" w:rsidR="00901191" w:rsidRPr="005244F9" w:rsidRDefault="00901191" w:rsidP="000817F3">
      <w:pPr>
        <w:pStyle w:val="ListParagraph"/>
        <w:numPr>
          <w:ilvl w:val="0"/>
          <w:numId w:val="68"/>
        </w:numPr>
        <w:spacing w:after="160" w:line="259" w:lineRule="auto"/>
      </w:pPr>
      <w:r w:rsidRPr="005244F9">
        <w:t xml:space="preserve">The </w:t>
      </w:r>
      <w:r w:rsidRPr="005244F9">
        <w:rPr>
          <w:highlight w:val="lightGray"/>
        </w:rPr>
        <w:t>Administrator</w:t>
      </w:r>
      <w:r w:rsidRPr="005244F9">
        <w:t xml:space="preserve"> has the authority to determine whether to permit an IR-based resolution</w:t>
      </w:r>
      <w:r>
        <w:t>,</w:t>
      </w:r>
      <w:r w:rsidRPr="005244F9">
        <w:t xml:space="preserve"> in line with any applicable federal or state requirements.</w:t>
      </w:r>
    </w:p>
    <w:p w14:paraId="40F23C05" w14:textId="77777777" w:rsidR="00901191" w:rsidRPr="005244F9" w:rsidRDefault="00901191" w:rsidP="000817F3">
      <w:pPr>
        <w:pStyle w:val="ListParagraph"/>
        <w:numPr>
          <w:ilvl w:val="0"/>
          <w:numId w:val="68"/>
        </w:numPr>
        <w:spacing w:after="160" w:line="259" w:lineRule="auto"/>
      </w:pPr>
      <w:r w:rsidRPr="005244F9">
        <w:t xml:space="preserve">Any party can </w:t>
      </w:r>
      <w:r>
        <w:t>withdraw from the IR process at any time before an agreement is reached.</w:t>
      </w:r>
    </w:p>
    <w:p w14:paraId="27F56D13" w14:textId="77777777" w:rsidR="00901191" w:rsidRPr="005244F9" w:rsidRDefault="00901191" w:rsidP="000817F3">
      <w:pPr>
        <w:pStyle w:val="ListParagraph"/>
        <w:numPr>
          <w:ilvl w:val="0"/>
          <w:numId w:val="68"/>
        </w:numPr>
        <w:spacing w:after="160" w:line="259" w:lineRule="auto"/>
      </w:pPr>
      <w:r w:rsidRPr="005244F9">
        <w:lastRenderedPageBreak/>
        <w:t>An IR Facilitator can also end an IR process early at their discretion.</w:t>
      </w:r>
    </w:p>
    <w:p w14:paraId="0D6642E7" w14:textId="77777777" w:rsidR="00901191" w:rsidRPr="005244F9" w:rsidRDefault="00901191" w:rsidP="000817F3">
      <w:pPr>
        <w:pStyle w:val="ListParagraph"/>
        <w:numPr>
          <w:ilvl w:val="0"/>
          <w:numId w:val="68"/>
        </w:numPr>
        <w:spacing w:after="160" w:line="259" w:lineRule="auto"/>
      </w:pPr>
      <w:r w:rsidRPr="005244F9">
        <w:t xml:space="preserve">IR can be attempted before and in lieu of formal resolution as a diversionary resolution. </w:t>
      </w:r>
    </w:p>
    <w:p w14:paraId="272158F5" w14:textId="77777777" w:rsidR="00901191" w:rsidRPr="005244F9" w:rsidRDefault="00901191" w:rsidP="000817F3">
      <w:pPr>
        <w:pStyle w:val="ListParagraph"/>
        <w:numPr>
          <w:ilvl w:val="0"/>
          <w:numId w:val="68"/>
        </w:numPr>
        <w:spacing w:after="160" w:line="259" w:lineRule="auto"/>
      </w:pPr>
      <w:r w:rsidRPr="005244F9">
        <w:t>Alternative approaches can inform formal resolution, as in a formal resolution model infused with restorative practices.</w:t>
      </w:r>
    </w:p>
    <w:p w14:paraId="455E7BF5" w14:textId="77777777" w:rsidR="00901191" w:rsidRPr="005244F9" w:rsidRDefault="00901191" w:rsidP="000817F3">
      <w:pPr>
        <w:pStyle w:val="ListParagraph"/>
        <w:numPr>
          <w:ilvl w:val="0"/>
          <w:numId w:val="68"/>
        </w:numPr>
        <w:spacing w:after="160" w:line="259" w:lineRule="auto"/>
      </w:pPr>
      <w:r w:rsidRPr="005244F9">
        <w:t xml:space="preserve">IR-based processes could </w:t>
      </w:r>
      <w:r>
        <w:t>follow</w:t>
      </w:r>
      <w:r w:rsidRPr="005244F9">
        <w:t xml:space="preserve"> a </w:t>
      </w:r>
      <w:r>
        <w:t>F</w:t>
      </w:r>
      <w:r w:rsidRPr="005244F9">
        <w:t xml:space="preserve">inal </w:t>
      </w:r>
      <w:r>
        <w:t>D</w:t>
      </w:r>
      <w:r w:rsidRPr="005244F9">
        <w:t>etermination at the Parties’ request.</w:t>
      </w:r>
    </w:p>
    <w:p w14:paraId="54C62E62" w14:textId="77777777" w:rsidR="00901191" w:rsidRPr="005244F9" w:rsidRDefault="00901191" w:rsidP="000817F3">
      <w:pPr>
        <w:pStyle w:val="ListParagraph"/>
        <w:numPr>
          <w:ilvl w:val="0"/>
          <w:numId w:val="68"/>
        </w:numPr>
        <w:spacing w:after="160" w:line="259" w:lineRule="auto"/>
      </w:pPr>
      <w:r w:rsidRPr="005244F9">
        <w:t xml:space="preserve">Alternative Resolution approaches to IR must be facilitated by the </w:t>
      </w:r>
      <w:r w:rsidRPr="005244F9">
        <w:rPr>
          <w:highlight w:val="lightGray"/>
        </w:rPr>
        <w:t>Recipient</w:t>
      </w:r>
      <w:r w:rsidRPr="005244F9">
        <w:t xml:space="preserve"> or a third party. There may be value in creating clearly agreed-upon ground rules, which the Parties must agree to abide by in advance, otherwise the Informal Resolution process may be deemed to have failed.</w:t>
      </w:r>
    </w:p>
    <w:p w14:paraId="51EE5146" w14:textId="77777777" w:rsidR="00901191" w:rsidRPr="005244F9" w:rsidRDefault="00901191" w:rsidP="000817F3">
      <w:pPr>
        <w:pStyle w:val="ListParagraph"/>
        <w:numPr>
          <w:ilvl w:val="0"/>
          <w:numId w:val="68"/>
        </w:numPr>
        <w:spacing w:after="160" w:line="259" w:lineRule="auto"/>
      </w:pPr>
      <w:r w:rsidRPr="005244F9">
        <w:t xml:space="preserve">Technology-facilitated IR </w:t>
      </w:r>
      <w:r>
        <w:t>is possible</w:t>
      </w:r>
      <w:r w:rsidRPr="005244F9">
        <w:t xml:space="preserve">, should the Parties </w:t>
      </w:r>
      <w:r>
        <w:t>be un</w:t>
      </w:r>
      <w:r w:rsidRPr="005244F9">
        <w:t xml:space="preserve">able or </w:t>
      </w:r>
      <w:r>
        <w:t>un</w:t>
      </w:r>
      <w:r w:rsidRPr="005244F9">
        <w:t>willing to meet in person.</w:t>
      </w:r>
    </w:p>
    <w:p w14:paraId="3EB0C4F2" w14:textId="77777777" w:rsidR="00901191" w:rsidRPr="005244F9" w:rsidRDefault="00901191" w:rsidP="000817F3">
      <w:pPr>
        <w:pStyle w:val="ListParagraph"/>
        <w:numPr>
          <w:ilvl w:val="0"/>
          <w:numId w:val="68"/>
        </w:numPr>
        <w:spacing w:after="160" w:line="259" w:lineRule="auto"/>
      </w:pPr>
      <w:bookmarkStart w:id="174" w:name="_Hlk85785798"/>
      <w:r w:rsidRPr="005244F9">
        <w:t xml:space="preserve">If IR fails, a </w:t>
      </w:r>
      <w:r>
        <w:t>Resolution Process</w:t>
      </w:r>
      <w:r w:rsidRPr="005244F9">
        <w:t xml:space="preserve"> can take place thereafter. Evidence elicited within the “safe space” of the IR facilitation could be later admissible in the </w:t>
      </w:r>
      <w:r>
        <w:t>Resolution Process</w:t>
      </w:r>
      <w:r w:rsidRPr="005244F9">
        <w:t xml:space="preserve"> unless all Parties </w:t>
      </w:r>
      <w:r>
        <w:t xml:space="preserve">and the </w:t>
      </w:r>
      <w:r w:rsidRPr="005244F9">
        <w:rPr>
          <w:highlight w:val="lightGray"/>
        </w:rPr>
        <w:t>Administrator</w:t>
      </w:r>
      <w:r>
        <w:t xml:space="preserve"> </w:t>
      </w:r>
      <w:r w:rsidRPr="005244F9">
        <w:t xml:space="preserve">determine it should not be. This will be clearly </w:t>
      </w:r>
      <w:r>
        <w:t>explained</w:t>
      </w:r>
      <w:r w:rsidRPr="005244F9">
        <w:t xml:space="preserve"> as a term of the decision to engage in the IR process.</w:t>
      </w:r>
    </w:p>
    <w:bookmarkEnd w:id="174"/>
    <w:p w14:paraId="1E803B94" w14:textId="77777777" w:rsidR="00901191" w:rsidRPr="005244F9" w:rsidRDefault="00901191" w:rsidP="000817F3">
      <w:pPr>
        <w:pStyle w:val="ListParagraph"/>
        <w:numPr>
          <w:ilvl w:val="0"/>
          <w:numId w:val="68"/>
        </w:numPr>
        <w:spacing w:after="160" w:line="259" w:lineRule="auto"/>
      </w:pPr>
      <w:r w:rsidRPr="005244F9">
        <w:t>With situations involving violence</w:t>
      </w:r>
      <w:r>
        <w:t xml:space="preserve"> or sensitive details</w:t>
      </w:r>
      <w:r w:rsidRPr="005244F9">
        <w:t>, the preferred alternative approach typically involves a minimal number of essential Parties</w:t>
      </w:r>
      <w:r>
        <w:t>. It is</w:t>
      </w:r>
      <w:r w:rsidRPr="005244F9">
        <w:t xml:space="preserve"> not a restorative circle approach with many constituents, </w:t>
      </w:r>
      <w:proofErr w:type="gramStart"/>
      <w:r w:rsidRPr="005244F9">
        <w:t>in order to</w:t>
      </w:r>
      <w:proofErr w:type="gramEnd"/>
      <w:r w:rsidRPr="005244F9">
        <w:t xml:space="preserve"> ensure privacy.</w:t>
      </w:r>
    </w:p>
    <w:p w14:paraId="387A5111" w14:textId="77777777" w:rsidR="00901191" w:rsidRPr="005244F9" w:rsidRDefault="00901191" w:rsidP="000817F3">
      <w:pPr>
        <w:pStyle w:val="ListParagraph"/>
        <w:numPr>
          <w:ilvl w:val="0"/>
          <w:numId w:val="68"/>
        </w:numPr>
        <w:spacing w:after="160" w:line="259" w:lineRule="auto"/>
      </w:pPr>
      <w:r w:rsidRPr="005244F9">
        <w:t xml:space="preserve">Some approaches require acceptance of accountability (this could be more than an </w:t>
      </w:r>
      <w:r>
        <w:t>acknowledgment</w:t>
      </w:r>
      <w:r w:rsidRPr="005244F9">
        <w:t xml:space="preserve"> of harm). A full admission by the Respondent is not a prerequisite. This willingness needs to be vetted carefully in advance by the </w:t>
      </w:r>
      <w:r w:rsidRPr="005244F9">
        <w:rPr>
          <w:highlight w:val="lightGray"/>
        </w:rPr>
        <w:t>Administrator</w:t>
      </w:r>
      <w:r>
        <w:t xml:space="preserve"> </w:t>
      </w:r>
      <w:r w:rsidRPr="005244F9">
        <w:t>before determining that an incident is amenable/appropriate for resolution by IR.</w:t>
      </w:r>
    </w:p>
    <w:p w14:paraId="4784CAC6" w14:textId="77777777" w:rsidR="00901191" w:rsidRPr="005244F9" w:rsidRDefault="00901191" w:rsidP="000817F3">
      <w:pPr>
        <w:pStyle w:val="ListParagraph"/>
        <w:numPr>
          <w:ilvl w:val="0"/>
          <w:numId w:val="68"/>
        </w:numPr>
        <w:spacing w:after="160" w:line="259" w:lineRule="auto"/>
      </w:pPr>
      <w:r w:rsidRPr="005244F9">
        <w:t>IR is intended to provide space for information exchange and connection, if desired, by the Parties. This may include supporting a dialogue to allow each party to express their experience of events or a process resulting in an accord or agreement between the Parties (</w:t>
      </w:r>
      <w:r>
        <w:t xml:space="preserve">e.g., </w:t>
      </w:r>
      <w:r w:rsidRPr="005244F9">
        <w:t xml:space="preserve">Complainant, Respondent, </w:t>
      </w:r>
      <w:r w:rsidRPr="005244F9">
        <w:rPr>
          <w:highlight w:val="lightGray"/>
        </w:rPr>
        <w:t>Recipient</w:t>
      </w:r>
      <w:r w:rsidRPr="005244F9">
        <w:t xml:space="preserve">), which is summarized in writing and enforced by the </w:t>
      </w:r>
      <w:r w:rsidRPr="005244F9">
        <w:rPr>
          <w:highlight w:val="lightGray"/>
        </w:rPr>
        <w:t>Recipient</w:t>
      </w:r>
      <w:r w:rsidRPr="005244F9">
        <w:t xml:space="preserve">. This can be a primary goal of the process. </w:t>
      </w:r>
    </w:p>
    <w:p w14:paraId="4C63E05A" w14:textId="77777777" w:rsidR="00901191" w:rsidRPr="005244F9" w:rsidRDefault="00901191" w:rsidP="000817F3">
      <w:pPr>
        <w:pStyle w:val="ListParagraph"/>
        <w:numPr>
          <w:ilvl w:val="0"/>
          <w:numId w:val="68"/>
        </w:numPr>
        <w:spacing w:after="160" w:line="259" w:lineRule="auto"/>
      </w:pPr>
      <w:r w:rsidRPr="005244F9">
        <w:t xml:space="preserve">IR can result in the Parties’ voluntary imposition of safety measures, remedies, and/or agreed-upon terms that the </w:t>
      </w:r>
      <w:r w:rsidRPr="005244F9">
        <w:rPr>
          <w:highlight w:val="lightGray"/>
        </w:rPr>
        <w:t>Recipient</w:t>
      </w:r>
      <w:r w:rsidRPr="005244F9">
        <w:t xml:space="preserve"> can enforce. These can be part of the agreement. </w:t>
      </w:r>
    </w:p>
    <w:p w14:paraId="2EA2AF0B" w14:textId="77777777" w:rsidR="00901191" w:rsidRPr="005244F9" w:rsidRDefault="00901191" w:rsidP="000817F3">
      <w:pPr>
        <w:pStyle w:val="ListParagraph"/>
        <w:numPr>
          <w:ilvl w:val="0"/>
          <w:numId w:val="68"/>
        </w:numPr>
        <w:spacing w:after="160" w:line="259" w:lineRule="auto"/>
      </w:pPr>
      <w:r w:rsidRPr="005244F9">
        <w:t xml:space="preserve">IR can result in the voluntary acceptance of “sanctions,” meaning that a Respondent could agree to withdraw or resign, self-suspend (by taking a leave of absence), or undertake other restrictions/transfers/online course options that would help to ensure the Complainant’s safety/educational or employment access in lieu of formal sanctions that would create a disciplinary record for the Respondent. These </w:t>
      </w:r>
      <w:r>
        <w:t>should be</w:t>
      </w:r>
      <w:r w:rsidRPr="005244F9">
        <w:t xml:space="preserve"> enforceable by the </w:t>
      </w:r>
      <w:r w:rsidRPr="005244F9">
        <w:rPr>
          <w:highlight w:val="lightGray"/>
        </w:rPr>
        <w:t>Recipient</w:t>
      </w:r>
      <w:r w:rsidRPr="005244F9">
        <w:t xml:space="preserve"> as part of the agreement, as may </w:t>
      </w:r>
      <w:proofErr w:type="gramStart"/>
      <w:r w:rsidRPr="005244F9">
        <w:t>be</w:t>
      </w:r>
      <w:proofErr w:type="gramEnd"/>
      <w:r w:rsidRPr="005244F9">
        <w:t xml:space="preserve"> terms of mutual release, non-disparagement, and/or non-disclosure. </w:t>
      </w:r>
    </w:p>
    <w:p w14:paraId="32220460" w14:textId="77777777" w:rsidR="00901191" w:rsidRPr="005244F9" w:rsidRDefault="00901191" w:rsidP="000817F3">
      <w:pPr>
        <w:pStyle w:val="ListParagraph"/>
        <w:numPr>
          <w:ilvl w:val="0"/>
          <w:numId w:val="68"/>
        </w:numPr>
        <w:spacing w:after="160" w:line="259" w:lineRule="auto"/>
      </w:pPr>
      <w:r w:rsidRPr="005244F9">
        <w:t xml:space="preserve">Although a non-disclosure agreement (NDA) could result from IR, it </w:t>
      </w:r>
      <w:r>
        <w:t>must</w:t>
      </w:r>
      <w:r w:rsidRPr="005244F9">
        <w:t xml:space="preserve"> be mutually agreed</w:t>
      </w:r>
      <w:r>
        <w:t xml:space="preserve"> </w:t>
      </w:r>
      <w:r w:rsidRPr="005244F9">
        <w:t xml:space="preserve">upon by the Parties </w:t>
      </w:r>
      <w:r>
        <w:t>and not coerced, as verified by the</w:t>
      </w:r>
      <w:r w:rsidRPr="005244F9">
        <w:t xml:space="preserve"> </w:t>
      </w:r>
      <w:r w:rsidRPr="005244F9">
        <w:rPr>
          <w:highlight w:val="lightGray"/>
        </w:rPr>
        <w:t>Administrator</w:t>
      </w:r>
      <w:r w:rsidRPr="005244F9">
        <w:t xml:space="preserve">. </w:t>
      </w:r>
    </w:p>
    <w:p w14:paraId="5E0EA65F" w14:textId="77777777" w:rsidR="00901191" w:rsidRPr="005244F9" w:rsidRDefault="00901191" w:rsidP="000817F3">
      <w:pPr>
        <w:pStyle w:val="ListParagraph"/>
        <w:numPr>
          <w:ilvl w:val="0"/>
          <w:numId w:val="68"/>
        </w:numPr>
        <w:spacing w:after="160" w:line="259" w:lineRule="auto"/>
        <w:rPr>
          <w:rFonts w:cs="Calibri"/>
          <w:b/>
          <w:bCs/>
          <w:u w:val="single"/>
        </w:rPr>
      </w:pPr>
      <w:r w:rsidRPr="005244F9">
        <w:t xml:space="preserve">Institutions must develop clear rules for managing/facilitating alternative resolution approaches to ensure they are civil, age-appropriate, culturally competent, reflective of </w:t>
      </w:r>
      <w:r>
        <w:lastRenderedPageBreak/>
        <w:t xml:space="preserve">an effort to neutralize </w:t>
      </w:r>
      <w:r w:rsidRPr="005244F9">
        <w:t xml:space="preserve">power imbalances, and maximize the potential for the </w:t>
      </w:r>
      <w:r>
        <w:t>IR p</w:t>
      </w:r>
      <w:r w:rsidRPr="005244F9">
        <w:t>rocess to result in the Parties’ understanding, restoration, remedy, etc.</w:t>
      </w:r>
    </w:p>
    <w:p w14:paraId="73117FFF" w14:textId="77777777" w:rsidR="00901191" w:rsidRPr="008C1554" w:rsidRDefault="00901191" w:rsidP="000817F3">
      <w:pPr>
        <w:pStyle w:val="ListParagraph"/>
        <w:numPr>
          <w:ilvl w:val="0"/>
          <w:numId w:val="68"/>
        </w:numPr>
        <w:spacing w:after="160" w:line="259" w:lineRule="auto"/>
        <w:rPr>
          <w:rFonts w:cs="Calibri"/>
          <w:b/>
          <w:bCs/>
          <w:u w:val="single"/>
        </w:rPr>
      </w:pPr>
      <w:r>
        <w:t xml:space="preserve">IR agreements may only be written to be binding on the Parties. They cannot include requirements or restrictions for </w:t>
      </w:r>
      <w:proofErr w:type="gramStart"/>
      <w:r>
        <w:t>persons</w:t>
      </w:r>
      <w:proofErr w:type="gramEnd"/>
      <w:r>
        <w:t xml:space="preserve"> or groups who are not a party to the Informal Resolution.</w:t>
      </w:r>
      <w:r>
        <w:br w:type="page"/>
      </w:r>
    </w:p>
    <w:p w14:paraId="016852A6" w14:textId="77777777" w:rsidR="00901191" w:rsidRDefault="00901191" w:rsidP="00901191">
      <w:pPr>
        <w:pStyle w:val="Heading1"/>
        <w:numPr>
          <w:ilvl w:val="0"/>
          <w:numId w:val="0"/>
        </w:numPr>
        <w:jc w:val="center"/>
      </w:pPr>
      <w:bookmarkStart w:id="175" w:name="_Toc82511717"/>
      <w:bookmarkStart w:id="176" w:name="_Toc102394039"/>
      <w:bookmarkStart w:id="177" w:name="_Toc168477596"/>
      <w:r w:rsidRPr="005244F9">
        <w:lastRenderedPageBreak/>
        <w:t xml:space="preserve">APPENDIX D: STATEMENT OF THE </w:t>
      </w:r>
      <w:bookmarkEnd w:id="175"/>
      <w:bookmarkEnd w:id="176"/>
      <w:r w:rsidRPr="005244F9">
        <w:t>PARTIES’ RIGHTS</w:t>
      </w:r>
      <w:bookmarkEnd w:id="177"/>
    </w:p>
    <w:p w14:paraId="1A376B45" w14:textId="77777777" w:rsidR="00901191" w:rsidRDefault="00901191" w:rsidP="00901191">
      <w:pPr>
        <w:spacing w:line="259" w:lineRule="auto"/>
      </w:pPr>
    </w:p>
    <w:p w14:paraId="5B1AFC0D" w14:textId="77777777" w:rsidR="00901191" w:rsidRDefault="00901191" w:rsidP="00901191">
      <w:pPr>
        <w:spacing w:line="259" w:lineRule="auto"/>
        <w:rPr>
          <w:b/>
          <w:bCs/>
        </w:rPr>
      </w:pPr>
      <w:r w:rsidRPr="00AF3A31">
        <w:rPr>
          <w:b/>
          <w:bCs/>
        </w:rPr>
        <w:t>Under this Policy an</w:t>
      </w:r>
      <w:r>
        <w:rPr>
          <w:b/>
          <w:bCs/>
        </w:rPr>
        <w:t>d</w:t>
      </w:r>
      <w:r w:rsidRPr="00AF3A31">
        <w:rPr>
          <w:b/>
          <w:bCs/>
        </w:rPr>
        <w:t xml:space="preserve"> procedures, the </w:t>
      </w:r>
      <w:r>
        <w:rPr>
          <w:b/>
          <w:bCs/>
        </w:rPr>
        <w:t>Parties</w:t>
      </w:r>
      <w:r w:rsidRPr="00AF3A31">
        <w:rPr>
          <w:b/>
          <w:bCs/>
        </w:rPr>
        <w:t xml:space="preserve"> have the right to:</w:t>
      </w:r>
    </w:p>
    <w:p w14:paraId="354456BA" w14:textId="77777777" w:rsidR="00901191" w:rsidRPr="00AF3A31" w:rsidRDefault="00901191" w:rsidP="00901191">
      <w:pPr>
        <w:spacing w:line="259" w:lineRule="auto"/>
        <w:rPr>
          <w:b/>
          <w:bCs/>
        </w:rPr>
      </w:pPr>
    </w:p>
    <w:p w14:paraId="19BFF131" w14:textId="77777777" w:rsidR="00901191" w:rsidRDefault="00901191" w:rsidP="000817F3">
      <w:pPr>
        <w:pStyle w:val="ListParagraph"/>
        <w:numPr>
          <w:ilvl w:val="0"/>
          <w:numId w:val="76"/>
        </w:numPr>
        <w:spacing w:after="160"/>
      </w:pPr>
      <w:r>
        <w:t xml:space="preserve">An equitable investigation and resolution of all credible allegations of prohibited discrimination, harassment, retaliation, and Other Prohibited Behaviors, when reported in good faith to </w:t>
      </w:r>
      <w:r w:rsidRPr="00C02DF5">
        <w:rPr>
          <w:highlight w:val="lightGray"/>
        </w:rPr>
        <w:t>Recipient</w:t>
      </w:r>
      <w:r>
        <w:t xml:space="preserve"> officials.</w:t>
      </w:r>
    </w:p>
    <w:p w14:paraId="7394B38C" w14:textId="77777777" w:rsidR="00901191" w:rsidRDefault="00901191" w:rsidP="000817F3">
      <w:pPr>
        <w:pStyle w:val="ListParagraph"/>
        <w:numPr>
          <w:ilvl w:val="0"/>
          <w:numId w:val="76"/>
        </w:numPr>
        <w:spacing w:after="160"/>
      </w:pPr>
      <w:r>
        <w:t>Timely written notice of all alleged violations, including the identity of the Parties involved (if known), the specific misconduct being alleged, the date and location of the alleged misconduct (if known), the implicated Policies and procedures, and possible sanctions.</w:t>
      </w:r>
    </w:p>
    <w:p w14:paraId="2AB8FE64" w14:textId="77777777" w:rsidR="00901191" w:rsidRDefault="00901191" w:rsidP="000817F3">
      <w:pPr>
        <w:pStyle w:val="ListParagraph"/>
        <w:numPr>
          <w:ilvl w:val="0"/>
          <w:numId w:val="76"/>
        </w:numPr>
        <w:spacing w:after="160"/>
      </w:pPr>
      <w:r>
        <w:t xml:space="preserve">Timely written notice of any material adjustments to the allegations (e.g., additional incidents or allegations, additional Complainants) by updating the </w:t>
      </w:r>
      <w:r w:rsidRPr="00823595">
        <w:t>Notice of Investigation and Allegation(s) (NOIA)</w:t>
      </w:r>
      <w:r w:rsidRPr="00823595" w:rsidDel="00823595">
        <w:t xml:space="preserve"> </w:t>
      </w:r>
      <w:r>
        <w:t>as needed to clarify potentially implicated Policy violations.</w:t>
      </w:r>
    </w:p>
    <w:p w14:paraId="160417F9" w14:textId="77777777" w:rsidR="00901191" w:rsidRDefault="00901191" w:rsidP="000817F3">
      <w:pPr>
        <w:pStyle w:val="ListParagraph"/>
        <w:numPr>
          <w:ilvl w:val="0"/>
          <w:numId w:val="76"/>
        </w:numPr>
        <w:spacing w:after="160"/>
      </w:pPr>
      <w:r>
        <w:t xml:space="preserve">Be informed in advance of any </w:t>
      </w:r>
      <w:r w:rsidRPr="005244F9">
        <w:rPr>
          <w:highlight w:val="lightGray"/>
        </w:rPr>
        <w:t>Recipient</w:t>
      </w:r>
      <w:r>
        <w:t xml:space="preserve"> public release of information regarding the allegation(s) or underlying incident(s), whenever possible.</w:t>
      </w:r>
    </w:p>
    <w:p w14:paraId="36187689" w14:textId="77777777" w:rsidR="00901191" w:rsidRDefault="00901191" w:rsidP="000817F3">
      <w:pPr>
        <w:pStyle w:val="ListParagraph"/>
        <w:numPr>
          <w:ilvl w:val="0"/>
          <w:numId w:val="76"/>
        </w:numPr>
        <w:spacing w:after="160"/>
      </w:pPr>
      <w:r>
        <w:t xml:space="preserve">Have all personally identifiable information protected from the </w:t>
      </w:r>
      <w:r w:rsidRPr="00C02DF5">
        <w:rPr>
          <w:highlight w:val="lightGray"/>
        </w:rPr>
        <w:t>Recipient</w:t>
      </w:r>
      <w:r>
        <w:t>’s release to the public without consent, except to the extent permitted by law.</w:t>
      </w:r>
    </w:p>
    <w:p w14:paraId="63883FC2" w14:textId="77777777" w:rsidR="00901191" w:rsidRDefault="00901191" w:rsidP="000817F3">
      <w:pPr>
        <w:pStyle w:val="ListParagraph"/>
        <w:numPr>
          <w:ilvl w:val="0"/>
          <w:numId w:val="76"/>
        </w:numPr>
        <w:spacing w:after="160"/>
      </w:pPr>
      <w:r>
        <w:t xml:space="preserve">Be treated with respect by </w:t>
      </w:r>
      <w:r w:rsidRPr="00C02DF5">
        <w:rPr>
          <w:highlight w:val="lightGray"/>
        </w:rPr>
        <w:t>Recipient</w:t>
      </w:r>
      <w:r>
        <w:t xml:space="preserve"> officials.</w:t>
      </w:r>
    </w:p>
    <w:p w14:paraId="7D02D515" w14:textId="77777777" w:rsidR="00901191" w:rsidRDefault="00901191" w:rsidP="000817F3">
      <w:pPr>
        <w:pStyle w:val="ListParagraph"/>
        <w:numPr>
          <w:ilvl w:val="0"/>
          <w:numId w:val="76"/>
        </w:numPr>
        <w:spacing w:after="160"/>
      </w:pPr>
      <w:r>
        <w:t xml:space="preserve">Have </w:t>
      </w:r>
      <w:r w:rsidRPr="00C02DF5">
        <w:rPr>
          <w:highlight w:val="lightGray"/>
        </w:rPr>
        <w:t>Recipient</w:t>
      </w:r>
      <w:r>
        <w:t xml:space="preserve"> Policy and these procedures followed without material deviation.</w:t>
      </w:r>
    </w:p>
    <w:p w14:paraId="70B57E23" w14:textId="77777777" w:rsidR="00901191" w:rsidRDefault="00901191" w:rsidP="000817F3">
      <w:pPr>
        <w:pStyle w:val="ListParagraph"/>
        <w:numPr>
          <w:ilvl w:val="0"/>
          <w:numId w:val="76"/>
        </w:numPr>
        <w:spacing w:after="160"/>
      </w:pPr>
      <w:r>
        <w:t xml:space="preserve">Voluntarily agree to resolve allegations under this Policy through Informal Resolution without </w:t>
      </w:r>
      <w:r w:rsidRPr="00C02DF5">
        <w:rPr>
          <w:highlight w:val="lightGray"/>
        </w:rPr>
        <w:t>Recipient</w:t>
      </w:r>
      <w:r>
        <w:t xml:space="preserve"> pressure, if Informal Resolution is approved by the </w:t>
      </w:r>
      <w:r w:rsidRPr="005244F9">
        <w:rPr>
          <w:highlight w:val="lightGray"/>
        </w:rPr>
        <w:t>Administrator</w:t>
      </w:r>
      <w:r>
        <w:t xml:space="preserve">. </w:t>
      </w:r>
    </w:p>
    <w:p w14:paraId="7DB4FA20" w14:textId="77777777" w:rsidR="00901191" w:rsidRDefault="00901191" w:rsidP="000817F3">
      <w:pPr>
        <w:pStyle w:val="ListParagraph"/>
        <w:numPr>
          <w:ilvl w:val="0"/>
          <w:numId w:val="76"/>
        </w:numPr>
        <w:spacing w:after="160"/>
      </w:pPr>
      <w:r>
        <w:t xml:space="preserve">Not </w:t>
      </w:r>
      <w:proofErr w:type="gramStart"/>
      <w:r>
        <w:t>be</w:t>
      </w:r>
      <w:proofErr w:type="gramEnd"/>
      <w:r>
        <w:t xml:space="preserve"> discouraged by </w:t>
      </w:r>
      <w:r w:rsidRPr="00C02DF5">
        <w:rPr>
          <w:highlight w:val="lightGray"/>
        </w:rPr>
        <w:t>Recipient</w:t>
      </w:r>
      <w:r>
        <w:t xml:space="preserve"> officials from reporting discrimination, harassment, retaliation, and Other Prohibited Behavior to both on-campus and off-campus authorities.</w:t>
      </w:r>
    </w:p>
    <w:p w14:paraId="22EC8FBE" w14:textId="77777777" w:rsidR="00901191" w:rsidRDefault="00901191" w:rsidP="000817F3">
      <w:pPr>
        <w:pStyle w:val="ListParagraph"/>
        <w:numPr>
          <w:ilvl w:val="0"/>
          <w:numId w:val="76"/>
        </w:numPr>
        <w:spacing w:after="160"/>
      </w:pPr>
      <w:r>
        <w:t xml:space="preserve">Be informed of options to notify proper law enforcement authorities, including on-campus and local police, and the option(s) to be assisted by the </w:t>
      </w:r>
      <w:r w:rsidRPr="00C02DF5">
        <w:rPr>
          <w:highlight w:val="lightGray"/>
        </w:rPr>
        <w:t>Recipient</w:t>
      </w:r>
      <w:r>
        <w:t xml:space="preserve"> in notifying such authorities, if the party chooses. This also includes the right </w:t>
      </w:r>
      <w:proofErr w:type="gramStart"/>
      <w:r>
        <w:t>to not</w:t>
      </w:r>
      <w:proofErr w:type="gramEnd"/>
      <w:r>
        <w:t xml:space="preserve"> be pressured to report. </w:t>
      </w:r>
    </w:p>
    <w:p w14:paraId="68533813" w14:textId="77777777" w:rsidR="00901191" w:rsidRDefault="00901191" w:rsidP="000817F3">
      <w:pPr>
        <w:pStyle w:val="ListParagraph"/>
        <w:numPr>
          <w:ilvl w:val="0"/>
          <w:numId w:val="76"/>
        </w:numPr>
        <w:spacing w:after="160"/>
      </w:pPr>
      <w:r>
        <w:t xml:space="preserve">Have allegations of violations of this Policy </w:t>
      </w:r>
      <w:proofErr w:type="gramStart"/>
      <w:r>
        <w:t>responded to</w:t>
      </w:r>
      <w:proofErr w:type="gramEnd"/>
      <w:r>
        <w:t xml:space="preserve"> promptly and with sensitivity by </w:t>
      </w:r>
      <w:r w:rsidRPr="00C02DF5">
        <w:rPr>
          <w:highlight w:val="lightGray"/>
        </w:rPr>
        <w:t>Recipient</w:t>
      </w:r>
      <w:r>
        <w:t xml:space="preserve"> </w:t>
      </w:r>
      <w:r w:rsidRPr="005244F9">
        <w:t>law enforcement</w:t>
      </w:r>
      <w:r>
        <w:t xml:space="preserve"> and/or other </w:t>
      </w:r>
      <w:r w:rsidRPr="00C02DF5">
        <w:rPr>
          <w:highlight w:val="lightGray"/>
        </w:rPr>
        <w:t>Recipient</w:t>
      </w:r>
      <w:r>
        <w:t xml:space="preserve"> officials.</w:t>
      </w:r>
    </w:p>
    <w:p w14:paraId="5B9B18C0" w14:textId="77777777" w:rsidR="00901191" w:rsidRDefault="00901191" w:rsidP="000817F3">
      <w:pPr>
        <w:pStyle w:val="ListParagraph"/>
        <w:numPr>
          <w:ilvl w:val="0"/>
          <w:numId w:val="76"/>
        </w:numPr>
        <w:spacing w:after="160"/>
      </w:pPr>
      <w:r>
        <w:t>Be informed of available supportive measures, such as counseling, advocacy, health care, student financial aid, visa and immigration assistance, and/or other services, both on-campus and in the community.</w:t>
      </w:r>
    </w:p>
    <w:p w14:paraId="68117482" w14:textId="77777777" w:rsidR="00901191" w:rsidRDefault="00901191" w:rsidP="000817F3">
      <w:pPr>
        <w:pStyle w:val="ListParagraph"/>
        <w:numPr>
          <w:ilvl w:val="0"/>
          <w:numId w:val="76"/>
        </w:numPr>
        <w:spacing w:after="160"/>
      </w:pPr>
      <w:r>
        <w:t xml:space="preserve">A </w:t>
      </w:r>
      <w:r w:rsidRPr="00C02DF5">
        <w:rPr>
          <w:highlight w:val="lightGray"/>
        </w:rPr>
        <w:t>Recipient</w:t>
      </w:r>
      <w:r>
        <w:t xml:space="preserve">-implemented no-contact order </w:t>
      </w:r>
      <w:r w:rsidRPr="005244F9">
        <w:t>or a no-trespass order against a non-affiliated third party</w:t>
      </w:r>
      <w:r w:rsidRPr="00AC66F5">
        <w:t xml:space="preserve"> when a </w:t>
      </w:r>
      <w:r>
        <w:t>person</w:t>
      </w:r>
      <w:r w:rsidRPr="00AC66F5">
        <w:t xml:space="preserve"> has engaged in or threatens to engage in stalking, threatening, harassing, or other improper conduct.</w:t>
      </w:r>
    </w:p>
    <w:p w14:paraId="00AF9B9D" w14:textId="77777777" w:rsidR="00901191" w:rsidRDefault="00901191" w:rsidP="000817F3">
      <w:pPr>
        <w:pStyle w:val="ListParagraph"/>
        <w:numPr>
          <w:ilvl w:val="0"/>
          <w:numId w:val="76"/>
        </w:numPr>
        <w:spacing w:after="160"/>
      </w:pPr>
      <w:r>
        <w:t>Be informed of available assistance in changing academic, living, and/or employment situations after an alleged incident of discrimination, harassment, and/or retaliation, if such changes are reasonably available. No formal report, or investigation, either institutional or criminal, needs to occur for this option to be available. Such actions may include, but are not limited to:</w:t>
      </w:r>
    </w:p>
    <w:p w14:paraId="6BF1773A" w14:textId="77777777" w:rsidR="00901191" w:rsidRPr="005244F9" w:rsidRDefault="00901191" w:rsidP="000817F3">
      <w:pPr>
        <w:pStyle w:val="ListParagraph"/>
        <w:numPr>
          <w:ilvl w:val="1"/>
          <w:numId w:val="76"/>
        </w:numPr>
        <w:spacing w:after="160" w:line="259" w:lineRule="auto"/>
      </w:pPr>
      <w:r w:rsidRPr="005244F9">
        <w:lastRenderedPageBreak/>
        <w:t xml:space="preserve">Relocating </w:t>
      </w:r>
      <w:proofErr w:type="gramStart"/>
      <w:r w:rsidRPr="005244F9">
        <w:t>an on</w:t>
      </w:r>
      <w:proofErr w:type="gramEnd"/>
      <w:r w:rsidRPr="005244F9">
        <w:t>-campus student’s housing to a different on-campus location</w:t>
      </w:r>
    </w:p>
    <w:p w14:paraId="2977D7D2" w14:textId="77777777" w:rsidR="00901191" w:rsidRPr="005244F9" w:rsidRDefault="00901191" w:rsidP="000817F3">
      <w:pPr>
        <w:pStyle w:val="ListParagraph"/>
        <w:numPr>
          <w:ilvl w:val="1"/>
          <w:numId w:val="76"/>
        </w:numPr>
        <w:spacing w:after="160" w:line="259" w:lineRule="auto"/>
      </w:pPr>
      <w:r w:rsidRPr="005244F9">
        <w:t xml:space="preserve">Assistance from </w:t>
      </w:r>
      <w:r w:rsidRPr="00C02DF5">
        <w:rPr>
          <w:highlight w:val="lightGray"/>
        </w:rPr>
        <w:t>Recipient</w:t>
      </w:r>
      <w:r w:rsidRPr="005244F9">
        <w:t xml:space="preserve"> staff in completing the relocation</w:t>
      </w:r>
    </w:p>
    <w:p w14:paraId="759F59F2" w14:textId="77777777" w:rsidR="00901191" w:rsidRPr="005244F9" w:rsidRDefault="00901191" w:rsidP="000817F3">
      <w:pPr>
        <w:pStyle w:val="ListParagraph"/>
        <w:numPr>
          <w:ilvl w:val="1"/>
          <w:numId w:val="76"/>
        </w:numPr>
        <w:spacing w:after="160" w:line="259" w:lineRule="auto"/>
      </w:pPr>
      <w:r w:rsidRPr="005244F9">
        <w:t>Changing an employee’s work environment (e.g., reporting structure, office/workspace relocation)</w:t>
      </w:r>
    </w:p>
    <w:p w14:paraId="7D4A7DC4" w14:textId="77777777" w:rsidR="00901191" w:rsidRPr="005244F9" w:rsidRDefault="00901191" w:rsidP="000817F3">
      <w:pPr>
        <w:pStyle w:val="ListParagraph"/>
        <w:numPr>
          <w:ilvl w:val="1"/>
          <w:numId w:val="76"/>
        </w:numPr>
        <w:spacing w:after="160" w:line="259" w:lineRule="auto"/>
      </w:pPr>
      <w:r w:rsidRPr="005244F9">
        <w:t>Transportation assistance</w:t>
      </w:r>
    </w:p>
    <w:p w14:paraId="2DC7B4ED" w14:textId="77777777" w:rsidR="00901191" w:rsidRPr="005244F9" w:rsidRDefault="00901191" w:rsidP="000817F3">
      <w:pPr>
        <w:pStyle w:val="ListParagraph"/>
        <w:numPr>
          <w:ilvl w:val="1"/>
          <w:numId w:val="76"/>
        </w:numPr>
        <w:spacing w:after="160" w:line="259" w:lineRule="auto"/>
      </w:pPr>
      <w:r w:rsidRPr="005244F9">
        <w:t>Visa/immigration assistance</w:t>
      </w:r>
    </w:p>
    <w:p w14:paraId="6174B127" w14:textId="77777777" w:rsidR="00901191" w:rsidRPr="005244F9" w:rsidRDefault="00901191" w:rsidP="000817F3">
      <w:pPr>
        <w:pStyle w:val="ListParagraph"/>
        <w:numPr>
          <w:ilvl w:val="1"/>
          <w:numId w:val="76"/>
        </w:numPr>
        <w:spacing w:after="160" w:line="259" w:lineRule="auto"/>
      </w:pPr>
      <w:r w:rsidRPr="005244F9">
        <w:t>Arranging to dissolve a housing contract and provide a pro-rated refund</w:t>
      </w:r>
    </w:p>
    <w:p w14:paraId="54BD02D4" w14:textId="77777777" w:rsidR="00901191" w:rsidRPr="005244F9" w:rsidRDefault="00901191" w:rsidP="000817F3">
      <w:pPr>
        <w:pStyle w:val="ListParagraph"/>
        <w:numPr>
          <w:ilvl w:val="1"/>
          <w:numId w:val="76"/>
        </w:numPr>
        <w:spacing w:after="160" w:line="259" w:lineRule="auto"/>
      </w:pPr>
      <w:r>
        <w:t>R</w:t>
      </w:r>
      <w:r w:rsidRPr="00E26AB0">
        <w:t>escheduling or adjust</w:t>
      </w:r>
      <w:r>
        <w:t>ing an e</w:t>
      </w:r>
      <w:r w:rsidRPr="005244F9">
        <w:t xml:space="preserve">xam, paper, and/or assignment </w:t>
      </w:r>
    </w:p>
    <w:p w14:paraId="72225ACD" w14:textId="77777777" w:rsidR="00901191" w:rsidRPr="005244F9" w:rsidRDefault="00901191" w:rsidP="000817F3">
      <w:pPr>
        <w:pStyle w:val="ListParagraph"/>
        <w:numPr>
          <w:ilvl w:val="1"/>
          <w:numId w:val="76"/>
        </w:numPr>
        <w:spacing w:after="160" w:line="259" w:lineRule="auto"/>
      </w:pPr>
      <w:r w:rsidRPr="005244F9">
        <w:t>Receiving an incomplete in, or a withdrawal from, a class (</w:t>
      </w:r>
      <w:proofErr w:type="gramStart"/>
      <w:r w:rsidRPr="005244F9">
        <w:t>may be</w:t>
      </w:r>
      <w:proofErr w:type="gramEnd"/>
      <w:r w:rsidRPr="005244F9">
        <w:t xml:space="preserve"> retroactive)</w:t>
      </w:r>
    </w:p>
    <w:p w14:paraId="2B0257DF" w14:textId="77777777" w:rsidR="00901191" w:rsidRPr="005244F9" w:rsidRDefault="00901191" w:rsidP="000817F3">
      <w:pPr>
        <w:pStyle w:val="ListParagraph"/>
        <w:numPr>
          <w:ilvl w:val="1"/>
          <w:numId w:val="76"/>
        </w:numPr>
        <w:spacing w:after="160" w:line="259" w:lineRule="auto"/>
      </w:pPr>
      <w:r w:rsidRPr="005244F9">
        <w:t>Transferring class sections</w:t>
      </w:r>
    </w:p>
    <w:p w14:paraId="13F1C0FC" w14:textId="77777777" w:rsidR="00901191" w:rsidRPr="005244F9" w:rsidRDefault="00901191" w:rsidP="000817F3">
      <w:pPr>
        <w:pStyle w:val="ListParagraph"/>
        <w:numPr>
          <w:ilvl w:val="1"/>
          <w:numId w:val="76"/>
        </w:numPr>
        <w:spacing w:after="160" w:line="259" w:lineRule="auto"/>
      </w:pPr>
      <w:r w:rsidRPr="005244F9">
        <w:t>Temporary withdrawal/leave of absence (may be retroactive)</w:t>
      </w:r>
    </w:p>
    <w:p w14:paraId="3C853526" w14:textId="77777777" w:rsidR="00901191" w:rsidRPr="005244F9" w:rsidRDefault="00901191" w:rsidP="000817F3">
      <w:pPr>
        <w:pStyle w:val="ListParagraph"/>
        <w:numPr>
          <w:ilvl w:val="1"/>
          <w:numId w:val="76"/>
        </w:numPr>
        <w:spacing w:after="160" w:line="259" w:lineRule="auto"/>
      </w:pPr>
      <w:r w:rsidRPr="005244F9">
        <w:t>Campus safety escorts</w:t>
      </w:r>
    </w:p>
    <w:p w14:paraId="5D54D615" w14:textId="77777777" w:rsidR="00901191" w:rsidRPr="005244F9" w:rsidRDefault="00901191" w:rsidP="000817F3">
      <w:pPr>
        <w:pStyle w:val="ListParagraph"/>
        <w:numPr>
          <w:ilvl w:val="1"/>
          <w:numId w:val="76"/>
        </w:numPr>
        <w:spacing w:after="160" w:line="259" w:lineRule="auto"/>
      </w:pPr>
      <w:r w:rsidRPr="005244F9">
        <w:t>Alternative course completion options</w:t>
      </w:r>
      <w:r w:rsidRPr="005244F9">
        <w:br/>
      </w:r>
    </w:p>
    <w:p w14:paraId="1AA5D752" w14:textId="77777777" w:rsidR="00901191" w:rsidRDefault="00901191" w:rsidP="000817F3">
      <w:pPr>
        <w:pStyle w:val="ListParagraph"/>
        <w:numPr>
          <w:ilvl w:val="0"/>
          <w:numId w:val="76"/>
        </w:numPr>
        <w:spacing w:after="160"/>
      </w:pPr>
      <w:r>
        <w:t xml:space="preserve">Have the </w:t>
      </w:r>
      <w:r w:rsidRPr="00C02DF5">
        <w:rPr>
          <w:highlight w:val="lightGray"/>
        </w:rPr>
        <w:t>Recipient</w:t>
      </w:r>
      <w:r>
        <w:t xml:space="preserve"> maintain supportive measures for as long as necessary and for supportive measures to remain confidential, provided confidentiality does not impair the </w:t>
      </w:r>
      <w:r w:rsidRPr="00C02DF5">
        <w:rPr>
          <w:highlight w:val="lightGray"/>
        </w:rPr>
        <w:t>Recipient</w:t>
      </w:r>
      <w:r>
        <w:t>’s ability to provide the supportive measures.</w:t>
      </w:r>
    </w:p>
    <w:p w14:paraId="674229A5" w14:textId="77777777" w:rsidR="00901191" w:rsidRDefault="00901191" w:rsidP="000817F3">
      <w:pPr>
        <w:pStyle w:val="ListParagraph"/>
        <w:numPr>
          <w:ilvl w:val="0"/>
          <w:numId w:val="76"/>
        </w:numPr>
        <w:spacing w:after="160"/>
      </w:pPr>
      <w:r>
        <w:t xml:space="preserve">Receive sufficiently advanced written notice of any </w:t>
      </w:r>
      <w:r w:rsidRPr="00C02DF5">
        <w:rPr>
          <w:highlight w:val="lightGray"/>
        </w:rPr>
        <w:t>Recipient</w:t>
      </w:r>
      <w:r>
        <w:t xml:space="preserve"> meetings or interviews involving another party, when possible.</w:t>
      </w:r>
    </w:p>
    <w:p w14:paraId="70449C5E" w14:textId="77777777" w:rsidR="00901191" w:rsidRPr="000B2E7F" w:rsidRDefault="00901191" w:rsidP="000817F3">
      <w:pPr>
        <w:pStyle w:val="ListParagraph"/>
        <w:numPr>
          <w:ilvl w:val="0"/>
          <w:numId w:val="76"/>
        </w:numPr>
        <w:spacing w:after="160"/>
      </w:pPr>
      <w:r>
        <w:t>Identify and have the Investigator(s) and/or Decision-maker question relevant available witnesses</w:t>
      </w:r>
      <w:r w:rsidRPr="000B2E7F">
        <w:t>, including expert witnesses.</w:t>
      </w:r>
    </w:p>
    <w:p w14:paraId="132FC4E7" w14:textId="77777777" w:rsidR="00901191" w:rsidRDefault="00901191" w:rsidP="000817F3">
      <w:pPr>
        <w:pStyle w:val="ListParagraph"/>
        <w:numPr>
          <w:ilvl w:val="0"/>
          <w:numId w:val="76"/>
        </w:numPr>
        <w:spacing w:after="160"/>
      </w:pPr>
      <w:r>
        <w:t xml:space="preserve">Provide the Investigator(s)/Decision-maker with a list of questions that, if deemed relevant and permissible by the Investigator(s)/Decision-maker, may be asked of any party or witness. </w:t>
      </w:r>
    </w:p>
    <w:p w14:paraId="2AA1840C" w14:textId="77777777" w:rsidR="00901191" w:rsidRDefault="00901191" w:rsidP="000817F3">
      <w:pPr>
        <w:pStyle w:val="ListParagraph"/>
        <w:numPr>
          <w:ilvl w:val="0"/>
          <w:numId w:val="76"/>
        </w:numPr>
        <w:spacing w:after="160"/>
      </w:pPr>
      <w:r>
        <w:t xml:space="preserve">Have Complainant’s inadmissible sexual interests/prior sexual history or any Party’s irrelevant character evidence excluded by the Decision-maker. </w:t>
      </w:r>
    </w:p>
    <w:p w14:paraId="115387B2" w14:textId="77777777" w:rsidR="00901191" w:rsidRDefault="00901191" w:rsidP="000817F3">
      <w:pPr>
        <w:pStyle w:val="ListParagraph"/>
        <w:numPr>
          <w:ilvl w:val="0"/>
          <w:numId w:val="76"/>
        </w:numPr>
        <w:spacing w:after="160"/>
      </w:pPr>
      <w:r>
        <w:t>Access the relevant evidence obtained and respond to that evidence.</w:t>
      </w:r>
    </w:p>
    <w:p w14:paraId="4C896824" w14:textId="77777777" w:rsidR="00901191" w:rsidRDefault="00901191" w:rsidP="000817F3">
      <w:pPr>
        <w:pStyle w:val="ListParagraph"/>
        <w:numPr>
          <w:ilvl w:val="0"/>
          <w:numId w:val="76"/>
        </w:numPr>
        <w:spacing w:after="160"/>
      </w:pPr>
      <w:r>
        <w:t xml:space="preserve">A fair opportunity to provide the Investigator(s) with their account of the alleged misconduct and have that account be on </w:t>
      </w:r>
      <w:proofErr w:type="gramStart"/>
      <w:r>
        <w:t>the record</w:t>
      </w:r>
      <w:proofErr w:type="gramEnd"/>
      <w:r>
        <w:t>.</w:t>
      </w:r>
    </w:p>
    <w:p w14:paraId="4E6D1AEC" w14:textId="77777777" w:rsidR="00901191" w:rsidRDefault="00901191" w:rsidP="000817F3">
      <w:pPr>
        <w:pStyle w:val="ListParagraph"/>
        <w:numPr>
          <w:ilvl w:val="0"/>
          <w:numId w:val="76"/>
        </w:numPr>
        <w:spacing w:after="160"/>
      </w:pPr>
      <w:r>
        <w:t xml:space="preserve">Receive a copy of all relevant and permissible evidence obtained during the investigation, subject to privacy limitations imposed by federal and state law and be given </w:t>
      </w:r>
      <w:r w:rsidRPr="009F4ABE">
        <w:rPr>
          <w:highlight w:val="lightGray"/>
        </w:rPr>
        <w:t>ten (10) business days</w:t>
      </w:r>
      <w:r>
        <w:t xml:space="preserve"> to review and comment on the evidence.</w:t>
      </w:r>
    </w:p>
    <w:p w14:paraId="4AAEB483" w14:textId="77777777" w:rsidR="00901191" w:rsidRDefault="00901191" w:rsidP="000817F3">
      <w:pPr>
        <w:pStyle w:val="ListParagraph"/>
        <w:numPr>
          <w:ilvl w:val="0"/>
          <w:numId w:val="76"/>
        </w:numPr>
        <w:spacing w:after="160"/>
      </w:pPr>
      <w:r>
        <w:t xml:space="preserve">The right to receive a copy of the Final Investigation Report, including all factual, Policy, and/or credibility analyses performed, and to have at least </w:t>
      </w:r>
      <w:r w:rsidRPr="009F4ABE">
        <w:rPr>
          <w:highlight w:val="lightGray"/>
        </w:rPr>
        <w:t>seven (7) business days</w:t>
      </w:r>
      <w:r>
        <w:t xml:space="preserve"> to review the report prior to the determination.</w:t>
      </w:r>
    </w:p>
    <w:p w14:paraId="2B4FEB32" w14:textId="77777777" w:rsidR="00901191" w:rsidRDefault="00901191" w:rsidP="000817F3">
      <w:pPr>
        <w:pStyle w:val="ListParagraph"/>
        <w:numPr>
          <w:ilvl w:val="0"/>
          <w:numId w:val="76"/>
        </w:numPr>
        <w:spacing w:after="160"/>
      </w:pPr>
      <w:r>
        <w:t>Be informed of the names of all witnesses whose information will be used to make a finding, in advance of that finding, when relevant.</w:t>
      </w:r>
    </w:p>
    <w:p w14:paraId="33FE9C54" w14:textId="77777777" w:rsidR="00901191" w:rsidRDefault="00901191" w:rsidP="000817F3">
      <w:pPr>
        <w:pStyle w:val="ListParagraph"/>
        <w:numPr>
          <w:ilvl w:val="0"/>
          <w:numId w:val="76"/>
        </w:numPr>
        <w:spacing w:after="160"/>
      </w:pPr>
      <w:r>
        <w:t>Regular status updates on the investigation and/or Resolution Process.</w:t>
      </w:r>
    </w:p>
    <w:p w14:paraId="49C02113" w14:textId="77777777" w:rsidR="00901191" w:rsidRDefault="00901191" w:rsidP="000817F3">
      <w:pPr>
        <w:pStyle w:val="ListParagraph"/>
        <w:numPr>
          <w:ilvl w:val="0"/>
          <w:numId w:val="76"/>
        </w:numPr>
        <w:spacing w:after="160"/>
      </w:pPr>
      <w:r>
        <w:t>Have reports of alleged Policy violations addressed by Resolution Process Pool members who have received relevant annual training as required by law.</w:t>
      </w:r>
    </w:p>
    <w:p w14:paraId="6AC1B895" w14:textId="77777777" w:rsidR="00901191" w:rsidRPr="00480222" w:rsidRDefault="00901191" w:rsidP="000817F3">
      <w:pPr>
        <w:pStyle w:val="ListParagraph"/>
        <w:numPr>
          <w:ilvl w:val="0"/>
          <w:numId w:val="76"/>
        </w:numPr>
      </w:pPr>
      <w:r w:rsidRPr="00480222">
        <w:t xml:space="preserve">A Decision-making panel that is not </w:t>
      </w:r>
      <w:proofErr w:type="gramStart"/>
      <w:r w:rsidRPr="00480222">
        <w:t>single</w:t>
      </w:r>
      <w:r>
        <w:t>-</w:t>
      </w:r>
      <w:r w:rsidRPr="00480222">
        <w:t>sex</w:t>
      </w:r>
      <w:proofErr w:type="gramEnd"/>
      <w:r w:rsidRPr="00480222">
        <w:t xml:space="preserve"> in its composition, if a panel is used.</w:t>
      </w:r>
    </w:p>
    <w:p w14:paraId="24D30E70" w14:textId="77777777" w:rsidR="00901191" w:rsidRDefault="00901191" w:rsidP="000817F3">
      <w:pPr>
        <w:pStyle w:val="ListParagraph"/>
        <w:numPr>
          <w:ilvl w:val="0"/>
          <w:numId w:val="76"/>
        </w:numPr>
        <w:spacing w:after="160"/>
      </w:pPr>
      <w:r>
        <w:t>Preservation of confidentiality/privacy, to the extent possible and permitted by law.</w:t>
      </w:r>
    </w:p>
    <w:p w14:paraId="4FDD9E27" w14:textId="77777777" w:rsidR="00901191" w:rsidRDefault="00901191" w:rsidP="000817F3">
      <w:pPr>
        <w:pStyle w:val="ListParagraph"/>
        <w:numPr>
          <w:ilvl w:val="0"/>
          <w:numId w:val="76"/>
        </w:numPr>
        <w:spacing w:after="160"/>
      </w:pPr>
      <w:r>
        <w:lastRenderedPageBreak/>
        <w:t xml:space="preserve">Meetings, </w:t>
      </w:r>
      <w:r w:rsidRPr="000B2E7F">
        <w:t xml:space="preserve">interviews, </w:t>
      </w:r>
      <w:r w:rsidRPr="005244F9">
        <w:t>and/or hearings</w:t>
      </w:r>
      <w:r>
        <w:t xml:space="preserve"> that are </w:t>
      </w:r>
      <w:proofErr w:type="gramStart"/>
      <w:r>
        <w:t>closed</w:t>
      </w:r>
      <w:proofErr w:type="gramEnd"/>
      <w:r>
        <w:t xml:space="preserve"> to the public.</w:t>
      </w:r>
    </w:p>
    <w:p w14:paraId="0409123E" w14:textId="77777777" w:rsidR="00901191" w:rsidRDefault="00901191" w:rsidP="000817F3">
      <w:pPr>
        <w:pStyle w:val="ListParagraph"/>
        <w:numPr>
          <w:ilvl w:val="0"/>
          <w:numId w:val="76"/>
        </w:numPr>
        <w:spacing w:after="160"/>
      </w:pPr>
      <w:r>
        <w:t xml:space="preserve">Petition that any </w:t>
      </w:r>
      <w:r w:rsidRPr="00C606D5">
        <w:rPr>
          <w:highlight w:val="lightGray"/>
        </w:rPr>
        <w:t>Recipient</w:t>
      </w:r>
      <w:r>
        <w:t xml:space="preserve"> representative in the process </w:t>
      </w:r>
      <w:proofErr w:type="gramStart"/>
      <w:r>
        <w:t>be</w:t>
      </w:r>
      <w:proofErr w:type="gramEnd"/>
      <w:r>
        <w:t xml:space="preserve"> recused </w:t>
      </w:r>
      <w:proofErr w:type="gramStart"/>
      <w:r>
        <w:t>on the basis of</w:t>
      </w:r>
      <w:proofErr w:type="gramEnd"/>
      <w:r>
        <w:t xml:space="preserve"> disqualifying bias and/or conflict of interest.</w:t>
      </w:r>
    </w:p>
    <w:p w14:paraId="6B0D805B" w14:textId="77777777" w:rsidR="00901191" w:rsidRDefault="00901191" w:rsidP="000817F3">
      <w:pPr>
        <w:pStyle w:val="ListParagraph"/>
        <w:numPr>
          <w:ilvl w:val="0"/>
          <w:numId w:val="76"/>
        </w:numPr>
        <w:spacing w:after="160"/>
      </w:pPr>
      <w:r>
        <w:t>Be able to select an Advisor of their choice to accompany and assist the party in all meetings and/or interviews associated with the Resolution Process.</w:t>
      </w:r>
    </w:p>
    <w:p w14:paraId="000206DE" w14:textId="77777777" w:rsidR="00901191" w:rsidRDefault="00901191" w:rsidP="000817F3">
      <w:pPr>
        <w:pStyle w:val="ListParagraph"/>
        <w:numPr>
          <w:ilvl w:val="0"/>
          <w:numId w:val="76"/>
        </w:numPr>
        <w:spacing w:after="160"/>
      </w:pPr>
      <w:r>
        <w:t xml:space="preserve">Apply the appropriate standard of proof, </w:t>
      </w:r>
      <w:r w:rsidRPr="00C606D5">
        <w:rPr>
          <w:highlight w:val="lightGray"/>
        </w:rPr>
        <w:t xml:space="preserve">[preponderance of the evidence </w:t>
      </w:r>
      <w:r w:rsidRPr="00C606D5">
        <w:rPr>
          <w:b/>
          <w:bCs/>
          <w:highlight w:val="lightGray"/>
        </w:rPr>
        <w:t>OR</w:t>
      </w:r>
      <w:r w:rsidRPr="00C606D5">
        <w:rPr>
          <w:highlight w:val="lightGray"/>
        </w:rPr>
        <w:t xml:space="preserve"> clear and convincing evidence</w:t>
      </w:r>
      <w:r w:rsidRPr="005244F9">
        <w:rPr>
          <w:highlight w:val="lightGray"/>
        </w:rPr>
        <w:t>]</w:t>
      </w:r>
      <w:r w:rsidRPr="005244F9">
        <w:t>,</w:t>
      </w:r>
      <w:r>
        <w:t xml:space="preserve"> to make a Finding and Final Determination after an objective evaluation of all relevant and permissible evidence.</w:t>
      </w:r>
    </w:p>
    <w:p w14:paraId="68CE2406" w14:textId="77777777" w:rsidR="00901191" w:rsidRPr="005244F9" w:rsidRDefault="00901191" w:rsidP="000817F3">
      <w:pPr>
        <w:pStyle w:val="ListParagraph"/>
        <w:numPr>
          <w:ilvl w:val="0"/>
          <w:numId w:val="76"/>
        </w:numPr>
        <w:spacing w:after="160"/>
      </w:pPr>
      <w:r w:rsidRPr="005244F9">
        <w:t>Be present, including presence via remote technology, during all testimony given and evidence presented during any hearing.</w:t>
      </w:r>
    </w:p>
    <w:p w14:paraId="4748EEEB" w14:textId="77777777" w:rsidR="00901191" w:rsidRPr="00560CFE" w:rsidRDefault="00901191" w:rsidP="000817F3">
      <w:pPr>
        <w:pStyle w:val="ListParagraph"/>
        <w:numPr>
          <w:ilvl w:val="0"/>
          <w:numId w:val="76"/>
        </w:numPr>
        <w:spacing w:after="160"/>
      </w:pPr>
      <w:r w:rsidRPr="005244F9">
        <w:t>Have an impact and/or mitigation statement considered by the Decision-maker following a determination of responsibility for any allegation, but prior to sanctioning.</w:t>
      </w:r>
    </w:p>
    <w:p w14:paraId="540294EC" w14:textId="77777777" w:rsidR="00901191" w:rsidRDefault="00901191" w:rsidP="000817F3">
      <w:pPr>
        <w:pStyle w:val="ListParagraph"/>
        <w:numPr>
          <w:ilvl w:val="0"/>
          <w:numId w:val="76"/>
        </w:numPr>
        <w:spacing w:after="160"/>
      </w:pPr>
      <w:r>
        <w:t>Be promptly informed of the Resolution Process finding(s) and sanction(s) (if any) and be given a detailed rationale of the decision (including an explanation of how credibility was assessed) in a written outcome letter delivered to the Parties simultaneously (without undue delay).</w:t>
      </w:r>
    </w:p>
    <w:p w14:paraId="0217FCA0" w14:textId="77777777" w:rsidR="00901191" w:rsidRDefault="00901191" w:rsidP="000817F3">
      <w:pPr>
        <w:pStyle w:val="ListParagraph"/>
        <w:numPr>
          <w:ilvl w:val="0"/>
          <w:numId w:val="76"/>
        </w:numPr>
        <w:spacing w:after="160"/>
      </w:pPr>
      <w:r>
        <w:t xml:space="preserve">Be informed in writing of when a </w:t>
      </w:r>
      <w:r w:rsidRPr="00C606D5">
        <w:rPr>
          <w:highlight w:val="lightGray"/>
        </w:rPr>
        <w:t>Recipient</w:t>
      </w:r>
      <w:r>
        <w:t xml:space="preserve"> decision is considered final and any changes to the Final Determination or sanction(s) that occur post outcome letter delivery.</w:t>
      </w:r>
    </w:p>
    <w:p w14:paraId="6D434643" w14:textId="77777777" w:rsidR="00901191" w:rsidRPr="00AF3A31" w:rsidRDefault="00901191" w:rsidP="000817F3">
      <w:pPr>
        <w:pStyle w:val="ListParagraph"/>
        <w:numPr>
          <w:ilvl w:val="0"/>
          <w:numId w:val="76"/>
        </w:numPr>
        <w:spacing w:after="160"/>
      </w:pPr>
      <w:r>
        <w:t xml:space="preserve">Be informed of the opportunity to appeal the Resolution Process finding(s) and sanction(s), and the procedures for doing so in accordance with the </w:t>
      </w:r>
      <w:r w:rsidRPr="00C606D5">
        <w:rPr>
          <w:highlight w:val="lightGray"/>
        </w:rPr>
        <w:t>Recipient</w:t>
      </w:r>
      <w:r>
        <w:t>’s grounds for appeal.</w:t>
      </w:r>
    </w:p>
    <w:p w14:paraId="48EB64C3" w14:textId="77777777" w:rsidR="00901191" w:rsidRPr="00C606D5" w:rsidRDefault="00901191" w:rsidP="000817F3">
      <w:pPr>
        <w:pStyle w:val="ListParagraph"/>
        <w:numPr>
          <w:ilvl w:val="0"/>
          <w:numId w:val="76"/>
        </w:numPr>
        <w:spacing w:after="160"/>
        <w:rPr>
          <w:rFonts w:cs="Calibri"/>
          <w:b/>
          <w:bCs/>
          <w:u w:val="single"/>
        </w:rPr>
      </w:pPr>
      <w:r>
        <w:t xml:space="preserve">A fundamentally fair resolution as defined in these procedures. </w:t>
      </w:r>
      <w:r>
        <w:br w:type="page"/>
      </w:r>
    </w:p>
    <w:p w14:paraId="09857751" w14:textId="77777777" w:rsidR="00901191" w:rsidRPr="0026035B" w:rsidRDefault="00901191" w:rsidP="00901191">
      <w:pPr>
        <w:pStyle w:val="Heading1"/>
        <w:numPr>
          <w:ilvl w:val="0"/>
          <w:numId w:val="0"/>
        </w:numPr>
        <w:ind w:left="270"/>
        <w:jc w:val="center"/>
      </w:pPr>
      <w:bookmarkStart w:id="178" w:name="_APPENDIX_E:_PRIVACY,"/>
      <w:bookmarkStart w:id="179" w:name="_Toc168477597"/>
      <w:bookmarkStart w:id="180" w:name="_Toc82511718"/>
      <w:bookmarkStart w:id="181" w:name="_Toc102394040"/>
      <w:bookmarkEnd w:id="178"/>
      <w:r w:rsidRPr="0026035B">
        <w:lastRenderedPageBreak/>
        <w:t xml:space="preserve">APPENDIX </w:t>
      </w:r>
      <w:r>
        <w:t>E</w:t>
      </w:r>
      <w:r w:rsidRPr="0026035B">
        <w:t>: PRIVACY</w:t>
      </w:r>
      <w:r>
        <w:t>, PRIVILEGE,</w:t>
      </w:r>
      <w:r w:rsidRPr="0026035B">
        <w:t xml:space="preserve"> AND CONFIDENTIALITY</w:t>
      </w:r>
      <w:bookmarkEnd w:id="179"/>
    </w:p>
    <w:p w14:paraId="603F162C" w14:textId="77777777" w:rsidR="00901191" w:rsidRPr="004C4887" w:rsidRDefault="00901191" w:rsidP="00901191"/>
    <w:p w14:paraId="6F427537" w14:textId="77777777" w:rsidR="00901191" w:rsidRPr="004C4887" w:rsidRDefault="00901191" w:rsidP="00901191">
      <w:pPr>
        <w:pStyle w:val="FootnoteText"/>
        <w:rPr>
          <w:sz w:val="24"/>
          <w:szCs w:val="24"/>
        </w:rPr>
      </w:pPr>
      <w:proofErr w:type="gramStart"/>
      <w:r w:rsidRPr="004C4887">
        <w:rPr>
          <w:sz w:val="24"/>
          <w:szCs w:val="24"/>
        </w:rPr>
        <w:t>For the purpose of</w:t>
      </w:r>
      <w:proofErr w:type="gramEnd"/>
      <w:r w:rsidRPr="004C4887">
        <w:rPr>
          <w:sz w:val="24"/>
          <w:szCs w:val="24"/>
        </w:rPr>
        <w:t xml:space="preserve"> this Policy, the terms privacy, confidentiality, and privilege have distinct meanings. </w:t>
      </w:r>
    </w:p>
    <w:p w14:paraId="6397BA03" w14:textId="77777777" w:rsidR="00901191" w:rsidRDefault="00901191" w:rsidP="000817F3">
      <w:pPr>
        <w:pStyle w:val="ListParagraph"/>
        <w:numPr>
          <w:ilvl w:val="0"/>
          <w:numId w:val="75"/>
        </w:numPr>
      </w:pPr>
      <w:r w:rsidRPr="00164733">
        <w:rPr>
          <w:b/>
          <w:bCs/>
        </w:rPr>
        <w:t>Privacy.</w:t>
      </w:r>
      <w:r w:rsidRPr="004C4887">
        <w:t xml:space="preserve"> </w:t>
      </w:r>
      <w:r>
        <w:t>M</w:t>
      </w:r>
      <w:r w:rsidRPr="004C4887">
        <w:t xml:space="preserve">eans that information related to a complaint will be shared with a limited number of </w:t>
      </w:r>
      <w:r w:rsidRPr="00164733">
        <w:rPr>
          <w:highlight w:val="lightGray"/>
        </w:rPr>
        <w:t>Recipient</w:t>
      </w:r>
      <w:r w:rsidRPr="004C4887">
        <w:t xml:space="preserve"> employees who “need to know” </w:t>
      </w:r>
      <w:proofErr w:type="gramStart"/>
      <w:r w:rsidRPr="004C4887">
        <w:t>in order to</w:t>
      </w:r>
      <w:proofErr w:type="gramEnd"/>
      <w:r w:rsidRPr="004C4887">
        <w:t xml:space="preserve"> assist in providing supportive measure</w:t>
      </w:r>
      <w:r>
        <w:t>s or evaluating, investigating, or resolving the Complaint.</w:t>
      </w:r>
      <w:r w:rsidRPr="004C4887">
        <w:t xml:space="preserve"> All employees who are involved in the </w:t>
      </w:r>
      <w:r w:rsidRPr="00164733">
        <w:rPr>
          <w:highlight w:val="lightGray"/>
        </w:rPr>
        <w:t>Recipient</w:t>
      </w:r>
      <w:r w:rsidRPr="004C4887">
        <w:t xml:space="preserve">’s response to </w:t>
      </w:r>
      <w:proofErr w:type="gramStart"/>
      <w:r>
        <w:t>N</w:t>
      </w:r>
      <w:r w:rsidRPr="004C4887">
        <w:t>otice</w:t>
      </w:r>
      <w:proofErr w:type="gramEnd"/>
      <w:r w:rsidRPr="004C4887">
        <w:t xml:space="preserve"> under this Policy receive specific training and guidance about sharing and safeguarding private information in accordance with federal</w:t>
      </w:r>
      <w:r>
        <w:t xml:space="preserve"> and state</w:t>
      </w:r>
      <w:r w:rsidRPr="004C4887">
        <w:t xml:space="preserve"> law. </w:t>
      </w:r>
    </w:p>
    <w:p w14:paraId="4EC7E8D2" w14:textId="77777777" w:rsidR="00901191" w:rsidRPr="004C4887" w:rsidRDefault="00901191" w:rsidP="00901191"/>
    <w:p w14:paraId="663B910F" w14:textId="77777777" w:rsidR="00901191" w:rsidRDefault="00901191" w:rsidP="000817F3">
      <w:pPr>
        <w:pStyle w:val="ListParagraph"/>
        <w:numPr>
          <w:ilvl w:val="0"/>
          <w:numId w:val="75"/>
        </w:numPr>
      </w:pPr>
      <w:r w:rsidRPr="00164733">
        <w:rPr>
          <w:b/>
          <w:bCs/>
        </w:rPr>
        <w:t>Confidentiality</w:t>
      </w:r>
      <w:r>
        <w:rPr>
          <w:b/>
          <w:bCs/>
        </w:rPr>
        <w:t>.</w:t>
      </w:r>
      <w:r w:rsidRPr="004C4887">
        <w:t xml:space="preserve"> </w:t>
      </w:r>
      <w:r>
        <w:t>E</w:t>
      </w:r>
      <w:r w:rsidRPr="005244F9">
        <w:rPr>
          <w:rFonts w:asciiTheme="minorHAnsi" w:hAnsiTheme="minorHAnsi" w:cstheme="minorHAnsi"/>
        </w:rPr>
        <w:t>xists in the context of laws or professional ethics (including Title IX) that protect certain relationships</w:t>
      </w:r>
      <w:r>
        <w:rPr>
          <w:rFonts w:asciiTheme="minorHAnsi" w:hAnsiTheme="minorHAnsi" w:cstheme="minorHAnsi"/>
        </w:rPr>
        <w:t>,</w:t>
      </w:r>
      <w:r w:rsidRPr="005D3D2D">
        <w:t xml:space="preserve"> </w:t>
      </w:r>
      <w:r>
        <w:t xml:space="preserve">including </w:t>
      </w:r>
      <w:r w:rsidRPr="0026035B">
        <w:t xml:space="preserve">clinical care, mental health providers, </w:t>
      </w:r>
      <w:r>
        <w:t xml:space="preserve">and </w:t>
      </w:r>
      <w:r w:rsidRPr="0026035B">
        <w:t>counselors</w:t>
      </w:r>
      <w:r>
        <w:t>.</w:t>
      </w:r>
      <w:r w:rsidRPr="005244F9">
        <w:rPr>
          <w:rFonts w:asciiTheme="minorHAnsi" w:hAnsiTheme="minorHAnsi" w:cstheme="minorHAnsi"/>
        </w:rPr>
        <w:t xml:space="preserve"> Confidentiality also </w:t>
      </w:r>
      <w:r w:rsidRPr="004C4887">
        <w:t xml:space="preserve">applies to those designated by the </w:t>
      </w:r>
      <w:r w:rsidRPr="00164733">
        <w:rPr>
          <w:highlight w:val="lightGray"/>
        </w:rPr>
        <w:t>Recipient</w:t>
      </w:r>
      <w:r w:rsidRPr="004C4887">
        <w:t xml:space="preserve"> as Confidential Employee</w:t>
      </w:r>
      <w:r>
        <w:t>s</w:t>
      </w:r>
      <w:r w:rsidRPr="004C4887">
        <w:t xml:space="preserve"> for purposes of reports</w:t>
      </w:r>
      <w:r>
        <w:t xml:space="preserve"> under this Policy, regardless of legal or ethical </w:t>
      </w:r>
      <w:proofErr w:type="gramStart"/>
      <w:r>
        <w:t>protections</w:t>
      </w:r>
      <w:proofErr w:type="gramEnd"/>
      <w:r w:rsidRPr="004C4887">
        <w:t xml:space="preserve">. When </w:t>
      </w:r>
      <w:r>
        <w:t xml:space="preserve">a Complainant shares </w:t>
      </w:r>
      <w:r w:rsidRPr="004C4887">
        <w:t>information with a Confidential Employee, the Confidential Employee does not need to disclose that information to the Title IX Coordinator. The Confidential Resource will, however, provide the Complainant with the Title IX Coordinator’s contact information, assist the Complainant in reporting, if desired, and provide them</w:t>
      </w:r>
      <w:r>
        <w:t xml:space="preserve"> with information on how the </w:t>
      </w:r>
      <w:r w:rsidRPr="005244F9">
        <w:rPr>
          <w:highlight w:val="lightGray"/>
        </w:rPr>
        <w:t>&lt;&lt;office&gt;&gt;</w:t>
      </w:r>
      <w:r>
        <w:t xml:space="preserve"> can assist them.</w:t>
      </w:r>
      <w:r w:rsidRPr="004C4887">
        <w:t xml:space="preserve"> </w:t>
      </w:r>
      <w:r>
        <w:t>With respect to Confidential Employees,</w:t>
      </w:r>
      <w:r w:rsidRPr="004C4887">
        <w:t xml:space="preserve"> information may be disclosed when: (1) the </w:t>
      </w:r>
      <w:r>
        <w:t>reporting person</w:t>
      </w:r>
      <w:r w:rsidRPr="004C4887">
        <w:t xml:space="preserve"> gives written consent for its disclosure; (2) there is a concern that the </w:t>
      </w:r>
      <w:r>
        <w:t>person</w:t>
      </w:r>
      <w:r w:rsidRPr="004C4887">
        <w:t xml:space="preserve"> will likely cause serious physical harm to self or others; or (3) the information concerns conduct involving suspected abuse or neglect of a minor under the age of 18, elders, or </w:t>
      </w:r>
      <w:proofErr w:type="gramStart"/>
      <w:r>
        <w:t>persons</w:t>
      </w:r>
      <w:proofErr w:type="gramEnd"/>
      <w:r w:rsidRPr="004C4887">
        <w:t xml:space="preserve"> with disabilities. Non-identifiable information may be shared by Confidential </w:t>
      </w:r>
      <w:r>
        <w:t>Employees</w:t>
      </w:r>
      <w:r w:rsidRPr="004C4887">
        <w:t xml:space="preserve"> for statistical tracking purposes as required by the Clery Act</w:t>
      </w:r>
      <w:r>
        <w:t>/Violence Against Women Act (VAWA)</w:t>
      </w:r>
      <w:r w:rsidRPr="004C4887">
        <w:t>. Other information may be shared as required by law.</w:t>
      </w:r>
    </w:p>
    <w:p w14:paraId="1638E550" w14:textId="77777777" w:rsidR="00901191" w:rsidRPr="004C4887" w:rsidRDefault="00901191" w:rsidP="00901191"/>
    <w:p w14:paraId="1FC1E104" w14:textId="77777777" w:rsidR="00901191" w:rsidRPr="004C4887" w:rsidRDefault="00901191" w:rsidP="000817F3">
      <w:pPr>
        <w:pStyle w:val="ListParagraph"/>
        <w:numPr>
          <w:ilvl w:val="0"/>
          <w:numId w:val="75"/>
        </w:numPr>
      </w:pPr>
      <w:r w:rsidRPr="00164733">
        <w:rPr>
          <w:b/>
          <w:bCs/>
        </w:rPr>
        <w:t>Privilege</w:t>
      </w:r>
      <w:r>
        <w:rPr>
          <w:b/>
          <w:bCs/>
        </w:rPr>
        <w:t>.</w:t>
      </w:r>
      <w:r w:rsidRPr="00164733">
        <w:rPr>
          <w:b/>
          <w:bCs/>
        </w:rPr>
        <w:t xml:space="preserve"> </w:t>
      </w:r>
      <w:r w:rsidRPr="005244F9">
        <w:t>E</w:t>
      </w:r>
      <w:r w:rsidRPr="004C4887">
        <w:t xml:space="preserve">xists in the context of laws that protect certain relationships, including </w:t>
      </w:r>
      <w:r>
        <w:t>attorneys, spouses, and clergy</w:t>
      </w:r>
      <w:r w:rsidRPr="004C4887">
        <w:t xml:space="preserve">. </w:t>
      </w:r>
      <w:r>
        <w:t xml:space="preserve">Privilege is maintained by a provider unless a </w:t>
      </w:r>
      <w:proofErr w:type="gramStart"/>
      <w:r>
        <w:t>court orders</w:t>
      </w:r>
      <w:proofErr w:type="gramEnd"/>
      <w:r>
        <w:t xml:space="preserve"> release or the holder of the privilege (e.g., a client, spouse, parishioner) waives the </w:t>
      </w:r>
      <w:proofErr w:type="gramStart"/>
      <w:r>
        <w:t>protections</w:t>
      </w:r>
      <w:proofErr w:type="gramEnd"/>
      <w:r>
        <w:t xml:space="preserve"> of the privilege. </w:t>
      </w:r>
      <w:r w:rsidRPr="004C4887">
        <w:t xml:space="preserve">The </w:t>
      </w:r>
      <w:r w:rsidRPr="00164733">
        <w:rPr>
          <w:highlight w:val="lightGray"/>
        </w:rPr>
        <w:t>Recipient</w:t>
      </w:r>
      <w:r w:rsidRPr="004C4887">
        <w:t xml:space="preserve"> </w:t>
      </w:r>
      <w:r>
        <w:t xml:space="preserve">treats employees </w:t>
      </w:r>
      <w:r w:rsidRPr="004C4887">
        <w:t xml:space="preserve">who </w:t>
      </w:r>
      <w:proofErr w:type="gramStart"/>
      <w:r w:rsidRPr="004C4887">
        <w:t>have the ability to</w:t>
      </w:r>
      <w:proofErr w:type="gramEnd"/>
      <w:r w:rsidRPr="004C4887">
        <w:t xml:space="preserve"> have privileged communications as Confidential Employees. </w:t>
      </w:r>
    </w:p>
    <w:p w14:paraId="6BE21DB5" w14:textId="77777777" w:rsidR="00901191" w:rsidRPr="004C4887" w:rsidRDefault="00901191" w:rsidP="00901191">
      <w:pPr>
        <w:pStyle w:val="ListParagraph"/>
      </w:pPr>
    </w:p>
    <w:p w14:paraId="5C9A9EFD" w14:textId="77777777" w:rsidR="00901191" w:rsidRPr="004C4887" w:rsidRDefault="00901191" w:rsidP="00901191">
      <w:r w:rsidRPr="004C4887">
        <w:t xml:space="preserve">The </w:t>
      </w:r>
      <w:r w:rsidRPr="00164733">
        <w:rPr>
          <w:highlight w:val="lightGray"/>
        </w:rPr>
        <w:t>Recipient</w:t>
      </w:r>
      <w:r w:rsidRPr="004C4887">
        <w:t xml:space="preserve"> reserves the right to determine which </w:t>
      </w:r>
      <w:r w:rsidRPr="00164733">
        <w:rPr>
          <w:highlight w:val="lightGray"/>
        </w:rPr>
        <w:t>Recipient</w:t>
      </w:r>
      <w:r w:rsidRPr="004C4887">
        <w:t xml:space="preserve"> officials have a legitimate educational interest in being informed about </w:t>
      </w:r>
      <w:r>
        <w:t xml:space="preserve">student-related </w:t>
      </w:r>
      <w:r w:rsidRPr="004C4887">
        <w:t>incidents that fall under this Policy, pursuant to FERPA.</w:t>
      </w:r>
    </w:p>
    <w:p w14:paraId="32D24207" w14:textId="77777777" w:rsidR="00901191" w:rsidRPr="004C4887" w:rsidRDefault="00901191" w:rsidP="00901191">
      <w:pPr>
        <w:pStyle w:val="ListParagraph"/>
      </w:pPr>
    </w:p>
    <w:p w14:paraId="473BD285" w14:textId="77777777" w:rsidR="00901191" w:rsidRPr="004C4887" w:rsidRDefault="00901191" w:rsidP="00901191">
      <w:r w:rsidRPr="004C4887">
        <w:t xml:space="preserve">Only a small group of officials who need to know will typically be told about the </w:t>
      </w:r>
      <w:r>
        <w:t>C</w:t>
      </w:r>
      <w:r w:rsidRPr="004C4887">
        <w:t>omplaint</w:t>
      </w:r>
      <w:r w:rsidRPr="005244F9">
        <w:t>.</w:t>
      </w:r>
      <w:r w:rsidRPr="005D3D2D">
        <w:t xml:space="preserve"> Information</w:t>
      </w:r>
      <w:r w:rsidRPr="004C4887">
        <w:t xml:space="preserve"> will be shared as necessary with Investigators, Decision-makers, </w:t>
      </w:r>
      <w:r>
        <w:t xml:space="preserve">Appeal Decision-makers, </w:t>
      </w:r>
      <w:r w:rsidRPr="004C4887">
        <w:t xml:space="preserve">witnesses, the </w:t>
      </w:r>
      <w:r>
        <w:t>Parties, and the Parties’ Advisors</w:t>
      </w:r>
      <w:r w:rsidRPr="004C4887">
        <w:t xml:space="preserve">. The circle of people with this knowledge will be kept as tight as possible to preserve the </w:t>
      </w:r>
      <w:r>
        <w:t>Parties</w:t>
      </w:r>
      <w:r w:rsidRPr="004C4887">
        <w:t>’ rights and privacy</w:t>
      </w:r>
      <w:r>
        <w:t xml:space="preserve">, and release is governed by the institution’s unauthorized disclosure policy. </w:t>
      </w:r>
    </w:p>
    <w:p w14:paraId="5D081932" w14:textId="77777777" w:rsidR="00901191" w:rsidRPr="004C4887" w:rsidRDefault="00901191" w:rsidP="00901191">
      <w:pPr>
        <w:pStyle w:val="ListParagraph"/>
      </w:pPr>
    </w:p>
    <w:p w14:paraId="1ABB8E0D" w14:textId="77777777" w:rsidR="00901191" w:rsidRPr="004C4887" w:rsidRDefault="00901191" w:rsidP="00901191">
      <w:r w:rsidRPr="004C4887">
        <w:t xml:space="preserve">The </w:t>
      </w:r>
      <w:r w:rsidRPr="005244F9">
        <w:rPr>
          <w:highlight w:val="lightGray"/>
        </w:rPr>
        <w:t>Recipient</w:t>
      </w:r>
      <w:r w:rsidRPr="004C4887">
        <w:t xml:space="preserve"> may contact students’ parents/guardians to inform them of situations in which there is a significant and articulable health and/or safety risk but will usually consult with the student </w:t>
      </w:r>
      <w:r>
        <w:t>prior to doing so.</w:t>
      </w:r>
    </w:p>
    <w:p w14:paraId="28453801" w14:textId="77777777" w:rsidR="00901191" w:rsidRDefault="00901191" w:rsidP="00901191">
      <w:pPr>
        <w:pStyle w:val="ListParagraph"/>
      </w:pPr>
    </w:p>
    <w:p w14:paraId="02824972" w14:textId="77777777" w:rsidR="00901191" w:rsidRDefault="00901191" w:rsidP="00901191"/>
    <w:p w14:paraId="5B484E0A" w14:textId="77777777" w:rsidR="00901191" w:rsidRDefault="00901191" w:rsidP="00901191">
      <w:pPr>
        <w:pStyle w:val="Heading1"/>
        <w:numPr>
          <w:ilvl w:val="0"/>
          <w:numId w:val="0"/>
        </w:numPr>
        <w:jc w:val="center"/>
      </w:pPr>
    </w:p>
    <w:p w14:paraId="7FE6B53D" w14:textId="77777777" w:rsidR="00901191" w:rsidRDefault="00901191" w:rsidP="00901191">
      <w:pPr>
        <w:pStyle w:val="Heading1"/>
        <w:numPr>
          <w:ilvl w:val="0"/>
          <w:numId w:val="0"/>
        </w:numPr>
        <w:jc w:val="center"/>
      </w:pPr>
    </w:p>
    <w:p w14:paraId="50C3F3AC" w14:textId="77777777" w:rsidR="00901191" w:rsidRDefault="00901191" w:rsidP="00901191">
      <w:pPr>
        <w:spacing w:after="160" w:line="259" w:lineRule="auto"/>
        <w:rPr>
          <w:rFonts w:cs="Calibri"/>
          <w:b/>
          <w:bCs/>
          <w:u w:val="single"/>
        </w:rPr>
      </w:pPr>
      <w:r>
        <w:br w:type="page"/>
      </w:r>
    </w:p>
    <w:p w14:paraId="0867F9E9" w14:textId="77777777" w:rsidR="00901191" w:rsidRDefault="00901191" w:rsidP="00901191">
      <w:pPr>
        <w:pStyle w:val="Heading1"/>
        <w:numPr>
          <w:ilvl w:val="0"/>
          <w:numId w:val="0"/>
        </w:numPr>
        <w:jc w:val="center"/>
      </w:pPr>
      <w:bookmarkStart w:id="182" w:name="_APPENDIX_F:_UNETHICAL"/>
      <w:bookmarkStart w:id="183" w:name="_Toc168477598"/>
      <w:bookmarkStart w:id="184" w:name="AppendixF"/>
      <w:bookmarkEnd w:id="182"/>
      <w:r>
        <w:lastRenderedPageBreak/>
        <w:t>APPENDIX F: UNETHICAL RELATIONSHIPS MODEL POLICY</w:t>
      </w:r>
      <w:bookmarkEnd w:id="180"/>
      <w:bookmarkEnd w:id="181"/>
      <w:bookmarkEnd w:id="183"/>
    </w:p>
    <w:bookmarkEnd w:id="184"/>
    <w:p w14:paraId="17EB0CC1" w14:textId="77777777" w:rsidR="00901191" w:rsidRDefault="00901191" w:rsidP="00901191"/>
    <w:p w14:paraId="2F5508ED" w14:textId="77777777" w:rsidR="00901191" w:rsidRPr="001C636D" w:rsidRDefault="00901191" w:rsidP="00901191">
      <w:pPr>
        <w:rPr>
          <w:b/>
          <w:bCs/>
          <w:highlight w:val="lightGray"/>
        </w:rPr>
      </w:pPr>
      <w:r w:rsidRPr="001C636D">
        <w:rPr>
          <w:b/>
          <w:bCs/>
          <w:highlight w:val="lightGray"/>
        </w:rPr>
        <w:t>Expectations Regarding Unethical Relationships</w:t>
      </w:r>
      <w:r w:rsidRPr="00FE270A">
        <w:rPr>
          <w:rStyle w:val="FootnoteReference"/>
        </w:rPr>
        <w:footnoteReference w:id="41"/>
      </w:r>
      <w:r w:rsidRPr="00FE270A">
        <w:rPr>
          <w:highlight w:val="lightGray"/>
        </w:rPr>
        <w:t xml:space="preserve"> </w:t>
      </w:r>
    </w:p>
    <w:p w14:paraId="6C444A81" w14:textId="77777777" w:rsidR="00901191" w:rsidRPr="001C636D" w:rsidRDefault="00901191" w:rsidP="00901191">
      <w:pPr>
        <w:rPr>
          <w:highlight w:val="lightGray"/>
        </w:rPr>
      </w:pPr>
    </w:p>
    <w:p w14:paraId="12EB31F9" w14:textId="77777777" w:rsidR="00901191" w:rsidRPr="001C636D" w:rsidRDefault="00901191" w:rsidP="00901191">
      <w:pPr>
        <w:rPr>
          <w:highlight w:val="lightGray"/>
        </w:rPr>
      </w:pPr>
      <w:r w:rsidRPr="001C636D">
        <w:rPr>
          <w:highlight w:val="lightGray"/>
        </w:rPr>
        <w:t xml:space="preserve">There are inherent risks in any romantic or sexual relationship between </w:t>
      </w:r>
      <w:r>
        <w:rPr>
          <w:highlight w:val="lightGray"/>
        </w:rPr>
        <w:t>persons</w:t>
      </w:r>
      <w:r w:rsidRPr="001C636D">
        <w:rPr>
          <w:highlight w:val="lightGray"/>
        </w:rPr>
        <w:t xml:space="preserve"> in unequal positions</w:t>
      </w:r>
      <w:r>
        <w:rPr>
          <w:highlight w:val="lightGray"/>
        </w:rPr>
        <w:t xml:space="preserve">, </w:t>
      </w:r>
      <w:r w:rsidRPr="001C636D">
        <w:rPr>
          <w:highlight w:val="lightGray"/>
        </w:rPr>
        <w:t>such as faculty member</w:t>
      </w:r>
      <w:r>
        <w:rPr>
          <w:highlight w:val="lightGray"/>
        </w:rPr>
        <w:t>-</w:t>
      </w:r>
      <w:r w:rsidRPr="001C636D">
        <w:rPr>
          <w:highlight w:val="lightGray"/>
        </w:rPr>
        <w:t>student or superviso</w:t>
      </w:r>
      <w:r>
        <w:rPr>
          <w:highlight w:val="lightGray"/>
        </w:rPr>
        <w:t>r-</w:t>
      </w:r>
      <w:r w:rsidRPr="001C636D">
        <w:rPr>
          <w:highlight w:val="lightGray"/>
        </w:rPr>
        <w:t xml:space="preserve">employee. </w:t>
      </w:r>
      <w:proofErr w:type="gramStart"/>
      <w:r>
        <w:rPr>
          <w:highlight w:val="lightGray"/>
        </w:rPr>
        <w:t>In reality, t</w:t>
      </w:r>
      <w:r w:rsidRPr="001C636D">
        <w:rPr>
          <w:highlight w:val="lightGray"/>
        </w:rPr>
        <w:t>hese</w:t>
      </w:r>
      <w:proofErr w:type="gramEnd"/>
      <w:r w:rsidRPr="001C636D">
        <w:rPr>
          <w:highlight w:val="lightGray"/>
        </w:rPr>
        <w:t xml:space="preserve"> relationships may be less consensual than perceived by the </w:t>
      </w:r>
      <w:r>
        <w:rPr>
          <w:highlight w:val="lightGray"/>
        </w:rPr>
        <w:t>person</w:t>
      </w:r>
      <w:r w:rsidRPr="001C636D">
        <w:rPr>
          <w:highlight w:val="lightGray"/>
        </w:rPr>
        <w:t xml:space="preserve"> whose position confers power or authority. Similarly, </w:t>
      </w:r>
      <w:r>
        <w:rPr>
          <w:highlight w:val="lightGray"/>
        </w:rPr>
        <w:t>each of the Parties may view the relationship differently</w:t>
      </w:r>
      <w:r w:rsidRPr="001C636D">
        <w:rPr>
          <w:highlight w:val="lightGray"/>
        </w:rPr>
        <w:t xml:space="preserve">, particularly in retrospect. Circumstances may change, and </w:t>
      </w:r>
      <w:r>
        <w:rPr>
          <w:highlight w:val="lightGray"/>
        </w:rPr>
        <w:t>once welcomed conduct</w:t>
      </w:r>
      <w:r w:rsidRPr="001C636D">
        <w:rPr>
          <w:highlight w:val="lightGray"/>
        </w:rPr>
        <w:t xml:space="preserve"> may</w:t>
      </w:r>
      <w:r>
        <w:rPr>
          <w:highlight w:val="lightGray"/>
        </w:rPr>
        <w:t xml:space="preserve"> become unwelcome at some point in the relationship</w:t>
      </w:r>
      <w:r w:rsidRPr="001C636D">
        <w:rPr>
          <w:highlight w:val="lightGray"/>
        </w:rPr>
        <w:t xml:space="preserve">. </w:t>
      </w:r>
    </w:p>
    <w:p w14:paraId="63E8E1B7" w14:textId="77777777" w:rsidR="00901191" w:rsidRPr="001C636D" w:rsidRDefault="00901191" w:rsidP="00901191">
      <w:pPr>
        <w:rPr>
          <w:highlight w:val="lightGray"/>
        </w:rPr>
      </w:pPr>
    </w:p>
    <w:p w14:paraId="78281586" w14:textId="77777777" w:rsidR="00901191" w:rsidRPr="001C636D" w:rsidRDefault="00901191" w:rsidP="00901191">
      <w:pPr>
        <w:rPr>
          <w:highlight w:val="lightGray"/>
        </w:rPr>
      </w:pPr>
      <w:r w:rsidRPr="001C636D">
        <w:rPr>
          <w:highlight w:val="lightGray"/>
        </w:rPr>
        <w:t xml:space="preserve">Even when </w:t>
      </w:r>
      <w:r>
        <w:rPr>
          <w:highlight w:val="lightGray"/>
        </w:rPr>
        <w:t>the</w:t>
      </w:r>
      <w:r w:rsidRPr="001C636D">
        <w:rPr>
          <w:highlight w:val="lightGray"/>
        </w:rPr>
        <w:t xml:space="preserve"> </w:t>
      </w:r>
      <w:r>
        <w:rPr>
          <w:highlight w:val="lightGray"/>
        </w:rPr>
        <w:t>Parties</w:t>
      </w:r>
      <w:r w:rsidRPr="001C636D">
        <w:rPr>
          <w:highlight w:val="lightGray"/>
        </w:rPr>
        <w:t xml:space="preserve"> have initially consented to romantic or sexual involvement, the possibility of a later allegation of a relevant </w:t>
      </w:r>
      <w:r>
        <w:rPr>
          <w:highlight w:val="lightGray"/>
        </w:rPr>
        <w:t>P</w:t>
      </w:r>
      <w:r w:rsidRPr="001C636D">
        <w:rPr>
          <w:highlight w:val="lightGray"/>
        </w:rPr>
        <w:t xml:space="preserve">olicy violation still exists. The Recipient does not wish to interfere with private choices regarding personal relationships when these relationships do not interfere with the </w:t>
      </w:r>
      <w:r>
        <w:rPr>
          <w:highlight w:val="lightGray"/>
        </w:rPr>
        <w:t xml:space="preserve">Recipient’s </w:t>
      </w:r>
      <w:r w:rsidRPr="001C636D">
        <w:rPr>
          <w:highlight w:val="lightGray"/>
        </w:rPr>
        <w:t xml:space="preserve">goals and policies. However, for the personal protection of members of this community, relationships in which power differentials are inherent (e.g., faculty-student, staff-student) are generally discouraged. They may also violate standards of professionalism and/or professional ethics. </w:t>
      </w:r>
    </w:p>
    <w:p w14:paraId="34CEB309" w14:textId="77777777" w:rsidR="00901191" w:rsidRPr="001C636D" w:rsidRDefault="00901191" w:rsidP="00901191">
      <w:pPr>
        <w:rPr>
          <w:highlight w:val="lightGray"/>
        </w:rPr>
      </w:pPr>
    </w:p>
    <w:p w14:paraId="78B735C2" w14:textId="77777777" w:rsidR="00901191" w:rsidRPr="001C636D" w:rsidRDefault="00901191" w:rsidP="00901191">
      <w:pPr>
        <w:rPr>
          <w:highlight w:val="lightGray"/>
        </w:rPr>
      </w:pPr>
      <w:r w:rsidRPr="001C636D">
        <w:rPr>
          <w:highlight w:val="lightGray"/>
        </w:rPr>
        <w:t>Consensual romantic or sexual relationships in which one party maintains a direct supervisory or otherwise evaluative role over the other party are inherently problematic. Therefore,</w:t>
      </w:r>
      <w:r w:rsidRPr="001C636D" w:rsidDel="00116D1A">
        <w:rPr>
          <w:highlight w:val="lightGray"/>
        </w:rPr>
        <w:t xml:space="preserve"> </w:t>
      </w:r>
      <w:proofErr w:type="gramStart"/>
      <w:r>
        <w:rPr>
          <w:highlight w:val="lightGray"/>
        </w:rPr>
        <w:t>persons</w:t>
      </w:r>
      <w:proofErr w:type="gramEnd"/>
      <w:r w:rsidRPr="001C636D">
        <w:rPr>
          <w:highlight w:val="lightGray"/>
        </w:rPr>
        <w:t xml:space="preserve"> with direct supervisory or otherwise evaluative responsibilities who are involved in such relationships must </w:t>
      </w:r>
      <w:r>
        <w:rPr>
          <w:highlight w:val="lightGray"/>
        </w:rPr>
        <w:t>promptly inform</w:t>
      </w:r>
      <w:r w:rsidRPr="001C636D">
        <w:rPr>
          <w:highlight w:val="lightGray"/>
        </w:rPr>
        <w:t xml:space="preserve"> their supervisor and/or the </w:t>
      </w:r>
      <w:r>
        <w:rPr>
          <w:highlight w:val="lightGray"/>
        </w:rPr>
        <w:t>Administrator</w:t>
      </w:r>
      <w:r w:rsidRPr="001C636D">
        <w:rPr>
          <w:highlight w:val="lightGray"/>
        </w:rPr>
        <w:t xml:space="preserve">. The existence of this type of relationship will likely result in removing the supervisory or evaluative responsibilities from the employee or shifting a party from being supervised or evaluated by someone with whom they have established a consensual relationship. When an </w:t>
      </w:r>
      <w:r>
        <w:rPr>
          <w:highlight w:val="lightGray"/>
        </w:rPr>
        <w:t>applicable</w:t>
      </w:r>
      <w:r w:rsidRPr="001C636D">
        <w:rPr>
          <w:highlight w:val="lightGray"/>
        </w:rPr>
        <w:t xml:space="preserve"> relationship existed prior to adoption of this </w:t>
      </w:r>
      <w:r>
        <w:rPr>
          <w:highlight w:val="lightGray"/>
        </w:rPr>
        <w:t>P</w:t>
      </w:r>
      <w:r w:rsidRPr="001C636D">
        <w:rPr>
          <w:highlight w:val="lightGray"/>
        </w:rPr>
        <w:t>olicy</w:t>
      </w:r>
      <w:r>
        <w:rPr>
          <w:highlight w:val="lightGray"/>
        </w:rPr>
        <w:t xml:space="preserve"> or prior to employment</w:t>
      </w:r>
      <w:r w:rsidRPr="001C636D">
        <w:rPr>
          <w:highlight w:val="lightGray"/>
        </w:rPr>
        <w:t>, the duty to notify the appropriate supervisor still pertains.</w:t>
      </w:r>
    </w:p>
    <w:p w14:paraId="27965D59" w14:textId="77777777" w:rsidR="00901191" w:rsidRPr="001C636D" w:rsidRDefault="00901191" w:rsidP="00901191">
      <w:pPr>
        <w:rPr>
          <w:highlight w:val="lightGray"/>
        </w:rPr>
      </w:pPr>
    </w:p>
    <w:p w14:paraId="4E87DB33" w14:textId="77777777" w:rsidR="00901191" w:rsidRDefault="00901191" w:rsidP="00901191">
      <w:r w:rsidRPr="001C636D">
        <w:rPr>
          <w:highlight w:val="lightGray"/>
        </w:rPr>
        <w:t>This type of relationship includes Resident A</w:t>
      </w:r>
      <w:r>
        <w:rPr>
          <w:highlight w:val="lightGray"/>
        </w:rPr>
        <w:t xml:space="preserve">ssistants </w:t>
      </w:r>
      <w:r w:rsidRPr="001C636D">
        <w:rPr>
          <w:highlight w:val="lightGray"/>
        </w:rPr>
        <w:t xml:space="preserve">(RAs) and students </w:t>
      </w:r>
      <w:r>
        <w:rPr>
          <w:highlight w:val="lightGray"/>
        </w:rPr>
        <w:t>for</w:t>
      </w:r>
      <w:r w:rsidRPr="001C636D">
        <w:rPr>
          <w:highlight w:val="lightGray"/>
        </w:rPr>
        <w:t xml:space="preserve"> whom the RA has direct responsibility. While no relationships are specifically prohibited by this </w:t>
      </w:r>
      <w:r>
        <w:rPr>
          <w:highlight w:val="lightGray"/>
        </w:rPr>
        <w:t>P</w:t>
      </w:r>
      <w:r w:rsidRPr="001C636D">
        <w:rPr>
          <w:highlight w:val="lightGray"/>
        </w:rPr>
        <w:t xml:space="preserve">olicy, failure to timely self-report such relationships to a supervisor as required can result in disciplinary action for an employee. The </w:t>
      </w:r>
      <w:r>
        <w:rPr>
          <w:highlight w:val="lightGray"/>
        </w:rPr>
        <w:t>Administrator</w:t>
      </w:r>
      <w:r w:rsidRPr="001C636D">
        <w:rPr>
          <w:highlight w:val="lightGray"/>
        </w:rPr>
        <w:t xml:space="preserve"> will determine whether to refer violations of this provision to </w:t>
      </w:r>
      <w:r>
        <w:rPr>
          <w:highlight w:val="lightGray"/>
        </w:rPr>
        <w:t>&lt;&lt;</w:t>
      </w:r>
      <w:r w:rsidRPr="001C636D">
        <w:rPr>
          <w:highlight w:val="lightGray"/>
        </w:rPr>
        <w:t>Human Resources</w:t>
      </w:r>
      <w:r>
        <w:rPr>
          <w:highlight w:val="lightGray"/>
        </w:rPr>
        <w:t>&gt;&gt;</w:t>
      </w:r>
      <w:r w:rsidRPr="001C636D">
        <w:rPr>
          <w:highlight w:val="lightGray"/>
        </w:rPr>
        <w:t xml:space="preserve"> for resolution, or to pursue resolution under this Policy, based on the circumstances of the allegation.</w:t>
      </w:r>
      <w:r>
        <w:t xml:space="preserve">  </w:t>
      </w:r>
    </w:p>
    <w:p w14:paraId="4CF11263" w14:textId="77777777" w:rsidR="00901191" w:rsidRPr="00551768" w:rsidRDefault="00901191" w:rsidP="00901191">
      <w:pPr>
        <w:spacing w:after="160" w:line="259" w:lineRule="auto"/>
        <w:rPr>
          <w:rFonts w:cs="Calibri"/>
          <w:b/>
          <w:bCs/>
          <w:u w:val="single"/>
        </w:rPr>
      </w:pPr>
      <w:r>
        <w:br w:type="page"/>
      </w:r>
    </w:p>
    <w:p w14:paraId="575B3828" w14:textId="77777777" w:rsidR="00901191" w:rsidRDefault="00901191" w:rsidP="00901191">
      <w:pPr>
        <w:pStyle w:val="Heading1"/>
        <w:numPr>
          <w:ilvl w:val="0"/>
          <w:numId w:val="0"/>
        </w:numPr>
        <w:jc w:val="center"/>
      </w:pPr>
      <w:bookmarkStart w:id="185" w:name="_APPENDIX_G:_VIOLENCE"/>
      <w:bookmarkStart w:id="186" w:name="_Toc82511719"/>
      <w:bookmarkStart w:id="187" w:name="_Toc102394041"/>
      <w:bookmarkStart w:id="188" w:name="_Toc168477599"/>
      <w:bookmarkEnd w:id="185"/>
      <w:r>
        <w:lastRenderedPageBreak/>
        <w:t>APPENDIX G: VIOLENCE RISK ASSESSMENT (VRA)</w:t>
      </w:r>
      <w:bookmarkEnd w:id="186"/>
      <w:bookmarkEnd w:id="187"/>
      <w:bookmarkEnd w:id="188"/>
    </w:p>
    <w:p w14:paraId="6186285A" w14:textId="77777777" w:rsidR="00901191" w:rsidRDefault="00901191" w:rsidP="00901191"/>
    <w:p w14:paraId="72C6EC05" w14:textId="77777777" w:rsidR="00901191" w:rsidRDefault="00901191" w:rsidP="00901191">
      <w:r>
        <w:t xml:space="preserve">Threat assessment is the process of assessing the actionability of violence by a person against another person or group following the issuance of a direct or conditional threat. A </w:t>
      </w:r>
      <w:r w:rsidRPr="005244F9">
        <w:rPr>
          <w:b/>
        </w:rPr>
        <w:t>Violence Risk Assessment (VRA)</w:t>
      </w:r>
      <w:r w:rsidRPr="005244F9">
        <w:rPr>
          <w:rStyle w:val="FootnoteReference"/>
        </w:rPr>
        <w:t xml:space="preserve"> </w:t>
      </w:r>
      <w:r>
        <w:t xml:space="preserve">is a broader term used to assess any potential violence or danger, regardless of the presence of a vague, conditional, or direct threat. </w:t>
      </w:r>
    </w:p>
    <w:p w14:paraId="54596829" w14:textId="77777777" w:rsidR="00901191" w:rsidRDefault="00901191" w:rsidP="00901191"/>
    <w:p w14:paraId="04FDDFEA" w14:textId="77777777" w:rsidR="00901191" w:rsidRDefault="00901191" w:rsidP="00901191">
      <w:r>
        <w:t xml:space="preserve">Implementing a VRA requires specific training. It is typically conducted by psychologists, clinical counselors, social workers, case managers, law enforcement officers, student conduct professionals, and/or other Behavioral Intervention Team (BIT) (sometimes known as CARE team) members. </w:t>
      </w:r>
    </w:p>
    <w:p w14:paraId="1A83C085" w14:textId="77777777" w:rsidR="00901191" w:rsidRDefault="00901191" w:rsidP="00901191"/>
    <w:p w14:paraId="4B7D5DBF" w14:textId="77777777" w:rsidR="00901191" w:rsidRDefault="00901191" w:rsidP="00901191">
      <w:r>
        <w:t xml:space="preserve">A VRA occurs in collaboration with the BIT, CARE team, and/or threat assessment team and must be understood as an ongoing process, rather than as a single evaluation or meeting. A VRA is not an evaluation for an involuntary behavioral health hospitalization (e.g., 5150 in California, Section XII in Massachusetts, Baker Act in Florida), nor is it a psychological or mental health assessment. </w:t>
      </w:r>
    </w:p>
    <w:p w14:paraId="23824167" w14:textId="77777777" w:rsidR="00901191" w:rsidRDefault="00901191" w:rsidP="00901191"/>
    <w:p w14:paraId="5713DE2A" w14:textId="77777777" w:rsidR="00901191" w:rsidRDefault="00901191" w:rsidP="00901191">
      <w:r>
        <w:t>A VRA assesses the risk of actionable violence, often with a focus on targeted/predatory escalations. It is supported by research from law enforcement, criminology, human resources, and psychology.</w:t>
      </w:r>
    </w:p>
    <w:p w14:paraId="303ED19E" w14:textId="77777777" w:rsidR="00901191" w:rsidRDefault="00901191" w:rsidP="00901191"/>
    <w:p w14:paraId="74FC6480" w14:textId="77777777" w:rsidR="00901191" w:rsidRDefault="00901191" w:rsidP="00901191">
      <w:r>
        <w:t xml:space="preserve">When conducting a VRA, the assessor(s) </w:t>
      </w:r>
      <w:proofErr w:type="gramStart"/>
      <w:r>
        <w:t>use(s)</w:t>
      </w:r>
      <w:proofErr w:type="gramEnd"/>
      <w:r>
        <w:t xml:space="preserve"> an evidence-based process consisting of:</w:t>
      </w:r>
    </w:p>
    <w:p w14:paraId="11A874FE" w14:textId="77777777" w:rsidR="00901191" w:rsidRDefault="00901191" w:rsidP="00901191"/>
    <w:p w14:paraId="069CFCBC" w14:textId="77777777" w:rsidR="00901191" w:rsidRDefault="00901191" w:rsidP="000817F3">
      <w:pPr>
        <w:pStyle w:val="ListParagraph"/>
        <w:numPr>
          <w:ilvl w:val="0"/>
          <w:numId w:val="69"/>
        </w:numPr>
      </w:pPr>
      <w:r>
        <w:t xml:space="preserve">An appraisal of </w:t>
      </w:r>
      <w:r w:rsidRPr="005244F9">
        <w:rPr>
          <w:b/>
        </w:rPr>
        <w:t>risk factors</w:t>
      </w:r>
      <w:r>
        <w:t xml:space="preserve"> that escalate the potential for violence.</w:t>
      </w:r>
    </w:p>
    <w:p w14:paraId="4F985E36" w14:textId="77777777" w:rsidR="00901191" w:rsidRDefault="00901191" w:rsidP="000817F3">
      <w:pPr>
        <w:pStyle w:val="ListParagraph"/>
        <w:numPr>
          <w:ilvl w:val="0"/>
          <w:numId w:val="69"/>
        </w:numPr>
      </w:pPr>
      <w:r>
        <w:t xml:space="preserve">A determination of </w:t>
      </w:r>
      <w:r w:rsidRPr="00083DF4">
        <w:t>stabilizing influences</w:t>
      </w:r>
      <w:r>
        <w:t xml:space="preserve">, or </w:t>
      </w:r>
      <w:r w:rsidRPr="005244F9">
        <w:rPr>
          <w:b/>
        </w:rPr>
        <w:t>protective factors</w:t>
      </w:r>
      <w:r w:rsidRPr="005244F9">
        <w:t xml:space="preserve">, </w:t>
      </w:r>
      <w:r w:rsidRPr="00B0299F">
        <w:t>that</w:t>
      </w:r>
      <w:r>
        <w:t xml:space="preserve"> reduce the risk of violence.</w:t>
      </w:r>
    </w:p>
    <w:p w14:paraId="23631403" w14:textId="77777777" w:rsidR="00901191" w:rsidRDefault="00901191" w:rsidP="000817F3">
      <w:pPr>
        <w:pStyle w:val="ListParagraph"/>
        <w:numPr>
          <w:ilvl w:val="0"/>
          <w:numId w:val="69"/>
        </w:numPr>
      </w:pPr>
      <w:r>
        <w:t xml:space="preserve">A contextual </w:t>
      </w:r>
      <w:r w:rsidRPr="005244F9">
        <w:rPr>
          <w:b/>
        </w:rPr>
        <w:t>analysis of violence risk</w:t>
      </w:r>
      <w:r>
        <w:t xml:space="preserve"> by considering environmental circumstances, hopelessness, and suicidality; catalyst events; nature and actionability of the threat; fixation and focus on target; grievance collection; and action and time imperative for violence.</w:t>
      </w:r>
    </w:p>
    <w:p w14:paraId="2B037B20" w14:textId="77777777" w:rsidR="00901191" w:rsidRDefault="00901191" w:rsidP="000817F3">
      <w:pPr>
        <w:pStyle w:val="ListParagraph"/>
        <w:numPr>
          <w:ilvl w:val="0"/>
          <w:numId w:val="69"/>
        </w:numPr>
      </w:pPr>
      <w:r>
        <w:t xml:space="preserve">The application of </w:t>
      </w:r>
      <w:r w:rsidRPr="005244F9">
        <w:rPr>
          <w:b/>
        </w:rPr>
        <w:t>intervention and management</w:t>
      </w:r>
      <w:r>
        <w:t xml:space="preserve"> approaches to reduce the risk of violence.</w:t>
      </w:r>
    </w:p>
    <w:p w14:paraId="3F9751C4" w14:textId="77777777" w:rsidR="00901191" w:rsidRDefault="00901191" w:rsidP="00901191"/>
    <w:p w14:paraId="2B28AF8F" w14:textId="77777777" w:rsidR="00901191" w:rsidRDefault="00901191" w:rsidP="00901191">
      <w:r>
        <w:t xml:space="preserve">To assess a person’s level of violence risk, the </w:t>
      </w:r>
      <w:r w:rsidRPr="0026035B">
        <w:rPr>
          <w:highlight w:val="lightGray"/>
        </w:rPr>
        <w:t>Administrator</w:t>
      </w:r>
      <w:r>
        <w:t xml:space="preserve"> will initiate the VRA process through the </w:t>
      </w:r>
      <w:r w:rsidRPr="00AF3A31">
        <w:rPr>
          <w:highlight w:val="lightGray"/>
        </w:rPr>
        <w:t>&lt;&lt;</w:t>
      </w:r>
      <w:r>
        <w:rPr>
          <w:highlight w:val="lightGray"/>
        </w:rPr>
        <w:t>Team</w:t>
      </w:r>
      <w:r w:rsidRPr="00AF3A31">
        <w:rPr>
          <w:highlight w:val="lightGray"/>
        </w:rPr>
        <w:t>&gt;&gt;</w:t>
      </w:r>
      <w:r>
        <w:t xml:space="preserve">. The </w:t>
      </w:r>
      <w:r w:rsidRPr="00A70C2E">
        <w:rPr>
          <w:highlight w:val="lightGray"/>
        </w:rPr>
        <w:t>&lt;&lt;</w:t>
      </w:r>
      <w:r>
        <w:rPr>
          <w:highlight w:val="lightGray"/>
        </w:rPr>
        <w:t>Team</w:t>
      </w:r>
      <w:r w:rsidRPr="00A70C2E">
        <w:rPr>
          <w:highlight w:val="lightGray"/>
        </w:rPr>
        <w:t>&gt;&gt;</w:t>
      </w:r>
      <w:r>
        <w:t xml:space="preserve"> will assign a trained person(s) to perform the assessment, according to the specific nature of the complaint.  </w:t>
      </w:r>
    </w:p>
    <w:p w14:paraId="52E3D53E" w14:textId="77777777" w:rsidR="00901191" w:rsidRDefault="00901191" w:rsidP="00901191"/>
    <w:p w14:paraId="097892A1" w14:textId="77777777" w:rsidR="00901191" w:rsidRDefault="00901191" w:rsidP="00901191">
      <w:r>
        <w:t xml:space="preserve">The assessor(s) will follow the process for conducting a VRA as outlined in the </w:t>
      </w:r>
      <w:r w:rsidRPr="00A70C2E">
        <w:rPr>
          <w:highlight w:val="lightGray"/>
        </w:rPr>
        <w:t>&lt;&lt;</w:t>
      </w:r>
      <w:r>
        <w:rPr>
          <w:highlight w:val="lightGray"/>
        </w:rPr>
        <w:t>Team</w:t>
      </w:r>
      <w:r w:rsidRPr="00A70C2E">
        <w:rPr>
          <w:highlight w:val="lightGray"/>
        </w:rPr>
        <w:t>&gt;&gt;</w:t>
      </w:r>
      <w:r>
        <w:t xml:space="preserve"> manual and will rely on a consistent, research-based, reliable system that allows for the evaluation of the risk levels. </w:t>
      </w:r>
    </w:p>
    <w:p w14:paraId="719DDB90" w14:textId="77777777" w:rsidR="00901191" w:rsidRDefault="00901191" w:rsidP="00901191"/>
    <w:p w14:paraId="4FFD228A" w14:textId="77777777" w:rsidR="00901191" w:rsidRDefault="00901191" w:rsidP="00901191">
      <w:r>
        <w:lastRenderedPageBreak/>
        <w:t>Some examples of formalized approaches to the VRA process include The NABITA Risk Rubric,</w:t>
      </w:r>
      <w:r>
        <w:rPr>
          <w:rStyle w:val="FootnoteReference"/>
        </w:rPr>
        <w:footnoteReference w:id="42"/>
      </w:r>
      <w:r>
        <w:t xml:space="preserve"> The Structured Interview for Violence Risk Assessment (SIVRA-35),</w:t>
      </w:r>
      <w:r>
        <w:rPr>
          <w:rStyle w:val="FootnoteReference"/>
        </w:rPr>
        <w:footnoteReference w:id="43"/>
      </w:r>
      <w:r>
        <w:t xml:space="preserve"> Violence Risk Assessment of the Written Word (VRAWW),</w:t>
      </w:r>
      <w:r>
        <w:rPr>
          <w:rStyle w:val="FootnoteReference"/>
        </w:rPr>
        <w:footnoteReference w:id="44"/>
      </w:r>
      <w:r>
        <w:t xml:space="preserve"> Workplace Assessment of Violence Risk (WAVR-21),</w:t>
      </w:r>
      <w:r>
        <w:rPr>
          <w:rStyle w:val="FootnoteReference"/>
        </w:rPr>
        <w:footnoteReference w:id="45"/>
      </w:r>
      <w:r>
        <w:t xml:space="preserve"> Historical Clinical Risk Management (HCR-20),</w:t>
      </w:r>
      <w:r>
        <w:rPr>
          <w:rStyle w:val="FootnoteReference"/>
        </w:rPr>
        <w:footnoteReference w:id="46"/>
      </w:r>
      <w:r>
        <w:t xml:space="preserve"> and MOSAIC.</w:t>
      </w:r>
      <w:r>
        <w:rPr>
          <w:rStyle w:val="FootnoteReference"/>
        </w:rPr>
        <w:footnoteReference w:id="47"/>
      </w:r>
      <w:r>
        <w:t xml:space="preserve">  </w:t>
      </w:r>
    </w:p>
    <w:p w14:paraId="3D22F275" w14:textId="77777777" w:rsidR="00901191" w:rsidRDefault="00901191" w:rsidP="00901191"/>
    <w:p w14:paraId="00BC42AE" w14:textId="77777777" w:rsidR="00901191" w:rsidRDefault="00901191" w:rsidP="00901191">
      <w:r>
        <w:t xml:space="preserve">The VRA is conducted independently from the Resolution Process, informed by it, but free from outcome pressure. The </w:t>
      </w:r>
      <w:proofErr w:type="gramStart"/>
      <w:r>
        <w:t>person(s)</w:t>
      </w:r>
      <w:proofErr w:type="gramEnd"/>
      <w:r>
        <w:t xml:space="preserve"> conducting the assessment will be trained to mitigate any bias and provide the analysis and findings in a fair and equitable manner. </w:t>
      </w:r>
    </w:p>
    <w:p w14:paraId="5156CE53" w14:textId="77777777" w:rsidR="00901191" w:rsidRDefault="00901191" w:rsidP="00901191"/>
    <w:p w14:paraId="0A361A14" w14:textId="77777777" w:rsidR="00901191" w:rsidRDefault="00901191" w:rsidP="00901191">
      <w:r>
        <w:t xml:space="preserve">The </w:t>
      </w:r>
      <w:r w:rsidRPr="00A70C2E">
        <w:rPr>
          <w:highlight w:val="lightGray"/>
        </w:rPr>
        <w:t>&lt;&lt;</w:t>
      </w:r>
      <w:r>
        <w:rPr>
          <w:highlight w:val="lightGray"/>
        </w:rPr>
        <w:t>Team</w:t>
      </w:r>
      <w:r w:rsidRPr="00A70C2E">
        <w:rPr>
          <w:highlight w:val="lightGray"/>
        </w:rPr>
        <w:t>&gt;&gt;</w:t>
      </w:r>
      <w:r>
        <w:rPr>
          <w:highlight w:val="lightGray"/>
        </w:rPr>
        <w:t xml:space="preserve"> </w:t>
      </w:r>
      <w:r w:rsidRPr="00083DF4">
        <w:rPr>
          <w:highlight w:val="lightGray"/>
        </w:rPr>
        <w:t>member(s)</w:t>
      </w:r>
      <w:r>
        <w:t xml:space="preserve"> conducts a VRA process and makes a recommendation to the </w:t>
      </w:r>
      <w:r w:rsidRPr="00AF3A31">
        <w:rPr>
          <w:highlight w:val="lightGray"/>
        </w:rPr>
        <w:t>Administrator</w:t>
      </w:r>
      <w:r>
        <w:t xml:space="preserve"> as to whether the VRA indicates there is a substantial, compelling, and/or immediate risk to the health and/or safety of a person or the community. </w:t>
      </w:r>
    </w:p>
    <w:p w14:paraId="58931AA0" w14:textId="77777777" w:rsidR="00901191" w:rsidRPr="006B563A" w:rsidRDefault="00901191" w:rsidP="00901191">
      <w:pPr>
        <w:rPr>
          <w:highlight w:val="lightGray"/>
        </w:rPr>
      </w:pPr>
    </w:p>
    <w:p w14:paraId="1E715028" w14:textId="77777777" w:rsidR="00901191" w:rsidRPr="0026035B" w:rsidRDefault="00901191" w:rsidP="00901191">
      <w:r w:rsidRPr="0026035B">
        <w:t xml:space="preserve">In some circumstances, the </w:t>
      </w:r>
      <w:r w:rsidRPr="005244F9">
        <w:rPr>
          <w:highlight w:val="lightGray"/>
        </w:rPr>
        <w:t>Administrator</w:t>
      </w:r>
      <w:r w:rsidRPr="00C746C2">
        <w:t xml:space="preserve"> may</w:t>
      </w:r>
      <w:r w:rsidRPr="0026035B">
        <w:t xml:space="preserve"> determine that a VRA should be conducted by the </w:t>
      </w:r>
      <w:r w:rsidRPr="005244F9">
        <w:rPr>
          <w:highlight w:val="lightGray"/>
        </w:rPr>
        <w:t>&lt;&lt; Team&gt;&gt;</w:t>
      </w:r>
      <w:r w:rsidRPr="0026035B">
        <w:t xml:space="preserve"> as part of the initial </w:t>
      </w:r>
      <w:r>
        <w:t>evaluation of a Complaint under this Policy</w:t>
      </w:r>
      <w:r w:rsidRPr="0026035B">
        <w:t>. A VRA can aid in critical and/or required determinations, including:</w:t>
      </w:r>
    </w:p>
    <w:p w14:paraId="7C1CD4D0" w14:textId="77777777" w:rsidR="00901191" w:rsidRPr="0026035B" w:rsidRDefault="00901191" w:rsidP="00901191"/>
    <w:p w14:paraId="791D17EF" w14:textId="77777777" w:rsidR="00901191" w:rsidRPr="0026035B" w:rsidRDefault="00901191" w:rsidP="000817F3">
      <w:pPr>
        <w:pStyle w:val="ListParagraph"/>
        <w:numPr>
          <w:ilvl w:val="0"/>
          <w:numId w:val="66"/>
        </w:numPr>
      </w:pPr>
      <w:r w:rsidRPr="0026035B">
        <w:t xml:space="preserve">Whether to remove the Respondent on an emergency basis </w:t>
      </w:r>
      <w:r>
        <w:t>because of</w:t>
      </w:r>
      <w:r w:rsidRPr="0026035B">
        <w:t xml:space="preserve"> an immediate threat to a</w:t>
      </w:r>
      <w:r>
        <w:t xml:space="preserve"> person </w:t>
      </w:r>
      <w:r w:rsidRPr="0026035B">
        <w:t>or the community’s health/safety (Emergency Removal)</w:t>
      </w:r>
    </w:p>
    <w:p w14:paraId="6C2C2D13" w14:textId="77777777" w:rsidR="00901191" w:rsidRPr="0026035B" w:rsidRDefault="00901191" w:rsidP="000817F3">
      <w:pPr>
        <w:pStyle w:val="ListParagraph"/>
        <w:numPr>
          <w:ilvl w:val="0"/>
          <w:numId w:val="66"/>
        </w:numPr>
      </w:pPr>
      <w:r w:rsidRPr="0026035B">
        <w:t xml:space="preserve">Whether the </w:t>
      </w:r>
      <w:r w:rsidRPr="005244F9">
        <w:rPr>
          <w:highlight w:val="lightGray"/>
        </w:rPr>
        <w:t>Administrator</w:t>
      </w:r>
      <w:r w:rsidRPr="0026035B">
        <w:t xml:space="preserve"> should pursue/sign a </w:t>
      </w:r>
      <w:r>
        <w:t>C</w:t>
      </w:r>
      <w:r w:rsidRPr="0026035B">
        <w:t>omplaint absent a willing/able Complainant</w:t>
      </w:r>
    </w:p>
    <w:p w14:paraId="75CA187A" w14:textId="77777777" w:rsidR="00901191" w:rsidRPr="0026035B" w:rsidRDefault="00901191" w:rsidP="000817F3">
      <w:pPr>
        <w:pStyle w:val="ListParagraph"/>
        <w:numPr>
          <w:ilvl w:val="0"/>
          <w:numId w:val="66"/>
        </w:numPr>
      </w:pPr>
      <w:r w:rsidRPr="0026035B">
        <w:t xml:space="preserve">Whether the scope of an investigation should include an incident, and/or pattern of misconduct, and/or climate of </w:t>
      </w:r>
      <w:r>
        <w:t xml:space="preserve">discrimination or </w:t>
      </w:r>
      <w:r w:rsidRPr="0026035B">
        <w:t>harassment</w:t>
      </w:r>
    </w:p>
    <w:p w14:paraId="6519F3C8" w14:textId="77777777" w:rsidR="00901191" w:rsidRPr="0026035B" w:rsidRDefault="00901191" w:rsidP="000817F3">
      <w:pPr>
        <w:pStyle w:val="ListParagraph"/>
        <w:numPr>
          <w:ilvl w:val="0"/>
          <w:numId w:val="66"/>
        </w:numPr>
      </w:pPr>
      <w:r w:rsidRPr="0026035B">
        <w:t>To help identify potential predatory conduct</w:t>
      </w:r>
    </w:p>
    <w:p w14:paraId="2FAA3C6A" w14:textId="77777777" w:rsidR="00901191" w:rsidRPr="0026035B" w:rsidRDefault="00901191" w:rsidP="000817F3">
      <w:pPr>
        <w:pStyle w:val="ListParagraph"/>
        <w:numPr>
          <w:ilvl w:val="0"/>
          <w:numId w:val="66"/>
        </w:numPr>
      </w:pPr>
      <w:r w:rsidRPr="0026035B">
        <w:t>To help assess/identify grooming behaviors</w:t>
      </w:r>
    </w:p>
    <w:p w14:paraId="30DC728B" w14:textId="77777777" w:rsidR="00901191" w:rsidRPr="0026035B" w:rsidRDefault="00901191" w:rsidP="000817F3">
      <w:pPr>
        <w:pStyle w:val="ListParagraph"/>
        <w:numPr>
          <w:ilvl w:val="0"/>
          <w:numId w:val="66"/>
        </w:numPr>
      </w:pPr>
      <w:r w:rsidRPr="0026035B">
        <w:t xml:space="preserve">Whether it is reasonable to try to resolve a </w:t>
      </w:r>
      <w:r>
        <w:t>C</w:t>
      </w:r>
      <w:r w:rsidRPr="0026035B">
        <w:t>omplaint through Informal Resolution, and if so, what approach may be most successful</w:t>
      </w:r>
    </w:p>
    <w:p w14:paraId="142315A4" w14:textId="77777777" w:rsidR="00901191" w:rsidRPr="0026035B" w:rsidRDefault="00901191" w:rsidP="000817F3">
      <w:pPr>
        <w:pStyle w:val="ListParagraph"/>
        <w:numPr>
          <w:ilvl w:val="0"/>
          <w:numId w:val="66"/>
        </w:numPr>
      </w:pPr>
      <w:r w:rsidRPr="0026035B">
        <w:t>Whether to permit the Respondent to voluntarily withdraw</w:t>
      </w:r>
    </w:p>
    <w:p w14:paraId="2101F192" w14:textId="77777777" w:rsidR="00901191" w:rsidRPr="0026035B" w:rsidRDefault="00901191" w:rsidP="000817F3">
      <w:pPr>
        <w:pStyle w:val="ListParagraph"/>
        <w:numPr>
          <w:ilvl w:val="0"/>
          <w:numId w:val="66"/>
        </w:numPr>
      </w:pPr>
      <w:r w:rsidRPr="0026035B">
        <w:t xml:space="preserve">Whether to impose transcript notation or communicate with a transfer </w:t>
      </w:r>
      <w:r>
        <w:t>institution</w:t>
      </w:r>
      <w:r w:rsidRPr="0026035B">
        <w:t xml:space="preserve"> about a Respondent</w:t>
      </w:r>
    </w:p>
    <w:p w14:paraId="629D4255" w14:textId="77777777" w:rsidR="00901191" w:rsidRPr="0026035B" w:rsidRDefault="00901191" w:rsidP="000817F3">
      <w:pPr>
        <w:pStyle w:val="ListParagraph"/>
        <w:numPr>
          <w:ilvl w:val="0"/>
          <w:numId w:val="66"/>
        </w:numPr>
      </w:pPr>
      <w:r w:rsidRPr="0026035B">
        <w:t>Assessment of appropriate sanctions/remedies (to be applied post-determination)</w:t>
      </w:r>
    </w:p>
    <w:p w14:paraId="46069DFB" w14:textId="77777777" w:rsidR="00901191" w:rsidRPr="0026035B" w:rsidRDefault="00901191" w:rsidP="000817F3">
      <w:pPr>
        <w:pStyle w:val="ListParagraph"/>
        <w:numPr>
          <w:ilvl w:val="0"/>
          <w:numId w:val="66"/>
        </w:numPr>
      </w:pPr>
      <w:r w:rsidRPr="0026035B">
        <w:t>Whether a Clery Act Timely Warning/Trespass order/Persona</w:t>
      </w:r>
      <w:r>
        <w:t xml:space="preserve"> N</w:t>
      </w:r>
      <w:r w:rsidRPr="0026035B">
        <w:t>on</w:t>
      </w:r>
      <w:r>
        <w:t xml:space="preserve"> G</w:t>
      </w:r>
      <w:r w:rsidRPr="0026035B">
        <w:t>rata is needed</w:t>
      </w:r>
    </w:p>
    <w:p w14:paraId="06E77DA1" w14:textId="77777777" w:rsidR="00901191" w:rsidRPr="0026035B" w:rsidRDefault="00901191" w:rsidP="00901191"/>
    <w:p w14:paraId="79CB3BFD" w14:textId="77777777" w:rsidR="00901191" w:rsidRDefault="00901191" w:rsidP="00901191">
      <w:r w:rsidRPr="0026035B">
        <w:t xml:space="preserve">A compelling risk to health and/or safety may result from evidence of patterns of misconduct, predatory conduct, threats, abuse of minors, use of weapons, and/or violence. </w:t>
      </w:r>
      <w:r>
        <w:t>Institutions</w:t>
      </w:r>
      <w:r w:rsidRPr="0026035B">
        <w:t xml:space="preserve"> may be compelled to act on alleged employee misconduct irrespective of a Complainant’s wishes.</w:t>
      </w:r>
    </w:p>
    <w:p w14:paraId="04C94316" w14:textId="77777777" w:rsidR="00901191" w:rsidRDefault="00901191" w:rsidP="00901191"/>
    <w:p w14:paraId="381F654E" w14:textId="77777777" w:rsidR="00901191" w:rsidRPr="002961F9" w:rsidRDefault="00901191" w:rsidP="00901191">
      <w:pPr>
        <w:ind w:left="720"/>
      </w:pPr>
      <w:bookmarkStart w:id="189" w:name="_Toc82511720"/>
      <w:bookmarkStart w:id="190" w:name="_Toc102394042"/>
    </w:p>
    <w:p w14:paraId="277E31A9" w14:textId="77777777" w:rsidR="00901191" w:rsidRDefault="00901191" w:rsidP="00901191">
      <w:pPr>
        <w:pStyle w:val="Heading1"/>
        <w:numPr>
          <w:ilvl w:val="0"/>
          <w:numId w:val="0"/>
        </w:numPr>
        <w:jc w:val="center"/>
      </w:pPr>
      <w:bookmarkStart w:id="191" w:name="_Toc82511742"/>
      <w:bookmarkStart w:id="192" w:name="_Toc102394063"/>
      <w:bookmarkStart w:id="193" w:name="_Toc168477600"/>
      <w:bookmarkStart w:id="194" w:name="_Hlk85803038"/>
      <w:bookmarkEnd w:id="189"/>
      <w:bookmarkEnd w:id="190"/>
      <w:r>
        <w:lastRenderedPageBreak/>
        <w:t>APPENDIX H: TITLE IX POLICY STATEMENT SAMPLE TEMPLATE</w:t>
      </w:r>
      <w:bookmarkEnd w:id="191"/>
      <w:bookmarkEnd w:id="192"/>
      <w:bookmarkEnd w:id="193"/>
    </w:p>
    <w:p w14:paraId="2F43EF72" w14:textId="77777777" w:rsidR="00901191" w:rsidRDefault="00901191" w:rsidP="00901191"/>
    <w:p w14:paraId="5C45B417" w14:textId="77777777" w:rsidR="00901191" w:rsidRDefault="00901191" w:rsidP="00901191">
      <w:r w:rsidRPr="00506C8D">
        <w:rPr>
          <w:highlight w:val="lightGray"/>
        </w:rPr>
        <w:t>Recipient</w:t>
      </w:r>
      <w:r>
        <w:t xml:space="preserve"> adheres to all federal, state, and local civil rights laws prohibiting discrimination and harassment in employment and education. The </w:t>
      </w:r>
      <w:r w:rsidRPr="00506C8D">
        <w:rPr>
          <w:highlight w:val="lightGray"/>
        </w:rPr>
        <w:t>Recipient</w:t>
      </w:r>
      <w:r>
        <w:t xml:space="preserve"> does not </w:t>
      </w:r>
      <w:r w:rsidRPr="0058025B">
        <w:t>discriminate in its admissions</w:t>
      </w:r>
      <w:r>
        <w:t xml:space="preserve"> </w:t>
      </w:r>
      <w:r w:rsidRPr="0058025B">
        <w:t xml:space="preserve">practices, </w:t>
      </w:r>
      <w:r>
        <w:t xml:space="preserve">employment practices, or educational programs or activities </w:t>
      </w:r>
      <w:proofErr w:type="gramStart"/>
      <w:r>
        <w:t>on the basis of</w:t>
      </w:r>
      <w:proofErr w:type="gramEnd"/>
      <w:r>
        <w:t xml:space="preserve"> sex,</w:t>
      </w:r>
      <w:r w:rsidRPr="0058025B">
        <w:t xml:space="preserve"> </w:t>
      </w:r>
      <w:r w:rsidRPr="00C22AAD">
        <w:t>except as may be permitted by law</w:t>
      </w:r>
      <w:r>
        <w:t xml:space="preserve">. As a recipient of federal financial assistance for education activities, </w:t>
      </w:r>
      <w:r w:rsidRPr="00506C8D">
        <w:rPr>
          <w:highlight w:val="lightGray"/>
        </w:rPr>
        <w:t>Recipient</w:t>
      </w:r>
      <w:r>
        <w:t xml:space="preserve"> is required by Title IX of the Education Amendments of 1972 (Title IX) to ensure that </w:t>
      </w:r>
      <w:proofErr w:type="gramStart"/>
      <w:r>
        <w:t>all of</w:t>
      </w:r>
      <w:proofErr w:type="gramEnd"/>
      <w:r>
        <w:t xml:space="preserve"> its education programs and activities do not discriminate on the basis of </w:t>
      </w:r>
      <w:r w:rsidRPr="00741D78">
        <w:t>sex.</w:t>
      </w:r>
      <w:r>
        <w:t xml:space="preserve"> Sex includes </w:t>
      </w:r>
      <w:r w:rsidRPr="0026035B">
        <w:t xml:space="preserve">sex, sex stereotypes, sex characteristics, gender identity, </w:t>
      </w:r>
      <w:r w:rsidRPr="00E7435E">
        <w:t>sexual orientation, and pregnancy or related conditions</w:t>
      </w:r>
      <w:r w:rsidRPr="00DD5D59">
        <w:t>.</w:t>
      </w:r>
      <w:r>
        <w:t xml:space="preserve"> Sex discrimination</w:t>
      </w:r>
      <w:r w:rsidRPr="0090205F">
        <w:t xml:space="preserve"> </w:t>
      </w:r>
      <w:r>
        <w:t xml:space="preserve">is prohibited under Title IX and by </w:t>
      </w:r>
      <w:r w:rsidRPr="00506C8D">
        <w:rPr>
          <w:highlight w:val="lightGray"/>
        </w:rPr>
        <w:t>Recipient</w:t>
      </w:r>
      <w:r>
        <w:t xml:space="preserve"> Policy, and it includes sex-based harassment, sexual assault, dating and domestic violence, stalking, quid pro quo harassment, hostile environment harassment, disparate treatment, and disparate impact.  </w:t>
      </w:r>
    </w:p>
    <w:p w14:paraId="791AC1B9" w14:textId="77777777" w:rsidR="00901191" w:rsidRDefault="00901191" w:rsidP="00901191"/>
    <w:p w14:paraId="1286E194" w14:textId="77777777" w:rsidR="00901191" w:rsidRDefault="00901191" w:rsidP="00901191">
      <w:r w:rsidRPr="00506C8D">
        <w:rPr>
          <w:highlight w:val="lightGray"/>
        </w:rPr>
        <w:t>Recipient</w:t>
      </w:r>
      <w:r>
        <w:t xml:space="preserve"> also prohibits retaliation against any person opposing discrimination or harassment or participating in any internal or external investigation or complaint process related to allegations of sex discrimination.</w:t>
      </w:r>
    </w:p>
    <w:p w14:paraId="5B88988C" w14:textId="77777777" w:rsidR="00901191" w:rsidRDefault="00901191" w:rsidP="00901191"/>
    <w:p w14:paraId="22510C07" w14:textId="77777777" w:rsidR="00901191" w:rsidRDefault="00901191" w:rsidP="00901191">
      <w:r>
        <w:t xml:space="preserve">Any </w:t>
      </w:r>
      <w:r w:rsidRPr="00E7435E">
        <w:rPr>
          <w:highlight w:val="lightGray"/>
        </w:rPr>
        <w:t>Recipient</w:t>
      </w:r>
      <w:r>
        <w:t xml:space="preserve"> faculty member, employee, or student who acts to deny, deprive, or limit the educational, employment, residential, or social access, opportunities, and/or benefits of any member of the </w:t>
      </w:r>
      <w:r w:rsidRPr="00506C8D">
        <w:rPr>
          <w:highlight w:val="lightGray"/>
        </w:rPr>
        <w:t>Recipient</w:t>
      </w:r>
      <w:r>
        <w:t xml:space="preserve"> community </w:t>
      </w:r>
      <w:proofErr w:type="gramStart"/>
      <w:r>
        <w:t>on the basis of</w:t>
      </w:r>
      <w:proofErr w:type="gramEnd"/>
      <w:r>
        <w:t xml:space="preserve"> sex is in violation of the </w:t>
      </w:r>
      <w:r>
        <w:rPr>
          <w:highlight w:val="lightGray"/>
        </w:rPr>
        <w:t>&lt;&lt;Policy&gt;&gt;</w:t>
      </w:r>
      <w:r>
        <w:t xml:space="preserve">. </w:t>
      </w:r>
    </w:p>
    <w:p w14:paraId="1A4721DE" w14:textId="77777777" w:rsidR="00901191" w:rsidRDefault="00901191" w:rsidP="00901191"/>
    <w:p w14:paraId="35EAF367" w14:textId="77777777" w:rsidR="00901191" w:rsidRDefault="00901191" w:rsidP="00901191">
      <w:r>
        <w:t>Any person may report sex discrimination (</w:t>
      </w:r>
      <w:proofErr w:type="gramStart"/>
      <w:r>
        <w:t>whether or not</w:t>
      </w:r>
      <w:proofErr w:type="gramEnd"/>
      <w:r>
        <w:t xml:space="preserve"> the person reporting is alleged to have experienced the conduct) in person, by mail, by telephone, by video, or by email, using the contact information listed for </w:t>
      </w:r>
      <w:r w:rsidRPr="00F24903">
        <w:t xml:space="preserve">the </w:t>
      </w:r>
      <w:r w:rsidRPr="00C746C2">
        <w:rPr>
          <w:highlight w:val="lightGray"/>
        </w:rPr>
        <w:t>Administrator</w:t>
      </w:r>
      <w:r>
        <w:t xml:space="preserve"> (below). A report may be made at any time (including during non-business hours) by contacting the </w:t>
      </w:r>
      <w:r w:rsidRPr="005244F9">
        <w:rPr>
          <w:highlight w:val="lightGray"/>
        </w:rPr>
        <w:t>&lt;&lt;office&gt;&gt;</w:t>
      </w:r>
      <w:r>
        <w:t>.</w:t>
      </w:r>
    </w:p>
    <w:p w14:paraId="11888146" w14:textId="77777777" w:rsidR="00901191" w:rsidRDefault="00901191" w:rsidP="00901191">
      <w:r>
        <w:t xml:space="preserve"> </w:t>
      </w:r>
    </w:p>
    <w:p w14:paraId="3CD41F84" w14:textId="77777777" w:rsidR="00901191" w:rsidRDefault="00901191" w:rsidP="00901191">
      <w:r>
        <w:t xml:space="preserve">Questions regarding Title IX, including its application and/or concerns about noncompliance, should be directed </w:t>
      </w:r>
      <w:proofErr w:type="gramStart"/>
      <w:r>
        <w:t>to</w:t>
      </w:r>
      <w:proofErr w:type="gramEnd"/>
      <w:r>
        <w:t xml:space="preserve"> the </w:t>
      </w:r>
      <w:r w:rsidRPr="000723FD">
        <w:rPr>
          <w:highlight w:val="lightGray"/>
        </w:rPr>
        <w:t>Title IX Coordinator</w:t>
      </w:r>
      <w:r>
        <w:t xml:space="preserve">. For a complete copy of the Policy or more information, please visit </w:t>
      </w:r>
      <w:r>
        <w:rPr>
          <w:highlight w:val="lightGray"/>
        </w:rPr>
        <w:t>&lt;&lt;link&gt;&gt;</w:t>
      </w:r>
      <w:r>
        <w:t xml:space="preserve"> or contact the </w:t>
      </w:r>
      <w:r w:rsidRPr="000723FD">
        <w:rPr>
          <w:highlight w:val="lightGray"/>
        </w:rPr>
        <w:t>Title IX Coordinator</w:t>
      </w:r>
      <w:r>
        <w:t>.</w:t>
      </w:r>
    </w:p>
    <w:p w14:paraId="30C9D090" w14:textId="77777777" w:rsidR="00901191" w:rsidRDefault="00901191" w:rsidP="00901191">
      <w:r>
        <w:t xml:space="preserve"> </w:t>
      </w:r>
    </w:p>
    <w:p w14:paraId="4952F456" w14:textId="77777777" w:rsidR="00901191" w:rsidRDefault="00901191" w:rsidP="00901191">
      <w:pPr>
        <w:rPr>
          <w:b/>
          <w:bCs/>
          <w:i/>
          <w:iCs/>
        </w:rPr>
      </w:pPr>
      <w:r w:rsidRPr="00D537B3">
        <w:rPr>
          <w:b/>
          <w:bCs/>
          <w:i/>
          <w:iCs/>
          <w:highlight w:val="lightGray"/>
        </w:rPr>
        <w:t>For sex-based allegations:</w:t>
      </w:r>
    </w:p>
    <w:p w14:paraId="0E7460C9" w14:textId="77777777" w:rsidR="00901191" w:rsidRPr="0084445F" w:rsidRDefault="00901191" w:rsidP="00901191">
      <w:pPr>
        <w:rPr>
          <w:highlight w:val="lightGray"/>
        </w:rPr>
      </w:pPr>
      <w:r>
        <w:rPr>
          <w:highlight w:val="lightGray"/>
        </w:rPr>
        <w:t>&lt;&lt;</w:t>
      </w:r>
      <w:r w:rsidRPr="0084445F">
        <w:rPr>
          <w:highlight w:val="lightGray"/>
        </w:rPr>
        <w:t>Name</w:t>
      </w:r>
      <w:r>
        <w:rPr>
          <w:highlight w:val="lightGray"/>
        </w:rPr>
        <w:t>&gt;&gt;</w:t>
      </w:r>
    </w:p>
    <w:p w14:paraId="21B1B4D2" w14:textId="77777777" w:rsidR="00901191" w:rsidRPr="0084445F" w:rsidRDefault="00901191" w:rsidP="00901191">
      <w:pPr>
        <w:rPr>
          <w:highlight w:val="lightGray"/>
        </w:rPr>
      </w:pPr>
      <w:r>
        <w:rPr>
          <w:highlight w:val="lightGray"/>
        </w:rPr>
        <w:t>&lt;&lt;Title&gt;&gt;</w:t>
      </w:r>
    </w:p>
    <w:p w14:paraId="39729FCD" w14:textId="77777777" w:rsidR="00901191" w:rsidRPr="0084445F" w:rsidRDefault="00901191" w:rsidP="00901191">
      <w:pPr>
        <w:rPr>
          <w:highlight w:val="lightGray"/>
        </w:rPr>
      </w:pPr>
      <w:r>
        <w:rPr>
          <w:highlight w:val="lightGray"/>
        </w:rPr>
        <w:t>&lt;&lt;</w:t>
      </w:r>
      <w:r w:rsidRPr="0084445F">
        <w:rPr>
          <w:highlight w:val="lightGray"/>
        </w:rPr>
        <w:t>Office</w:t>
      </w:r>
      <w:r>
        <w:rPr>
          <w:highlight w:val="lightGray"/>
        </w:rPr>
        <w:t>&gt;&gt;</w:t>
      </w:r>
    </w:p>
    <w:p w14:paraId="7D694832" w14:textId="77777777" w:rsidR="00901191" w:rsidRDefault="00901191" w:rsidP="00901191">
      <w:pPr>
        <w:rPr>
          <w:highlight w:val="lightGray"/>
        </w:rPr>
      </w:pPr>
      <w:r>
        <w:rPr>
          <w:highlight w:val="lightGray"/>
        </w:rPr>
        <w:t>&lt;&lt;Physical Location&gt;&gt;</w:t>
      </w:r>
    </w:p>
    <w:p w14:paraId="4B03A65E" w14:textId="77777777" w:rsidR="00901191" w:rsidRPr="0084445F" w:rsidRDefault="00901191" w:rsidP="00901191">
      <w:pPr>
        <w:rPr>
          <w:highlight w:val="lightGray"/>
        </w:rPr>
      </w:pPr>
      <w:r>
        <w:rPr>
          <w:highlight w:val="lightGray"/>
        </w:rPr>
        <w:t>&lt;&lt;Postal Mail Address&gt;&gt;</w:t>
      </w:r>
    </w:p>
    <w:p w14:paraId="661235E5" w14:textId="77777777" w:rsidR="00901191" w:rsidRDefault="00901191" w:rsidP="00901191">
      <w:pPr>
        <w:rPr>
          <w:highlight w:val="lightGray"/>
        </w:rPr>
      </w:pPr>
      <w:r>
        <w:rPr>
          <w:highlight w:val="lightGray"/>
        </w:rPr>
        <w:t>&lt;&lt;Phone Number&gt;&gt;</w:t>
      </w:r>
    </w:p>
    <w:p w14:paraId="63AA728C" w14:textId="77777777" w:rsidR="00901191" w:rsidRDefault="00901191" w:rsidP="00901191">
      <w:pPr>
        <w:rPr>
          <w:highlight w:val="lightGray"/>
        </w:rPr>
      </w:pPr>
      <w:r>
        <w:rPr>
          <w:highlight w:val="lightGray"/>
        </w:rPr>
        <w:t>&lt;&lt;Email Address&gt;&gt;</w:t>
      </w:r>
    </w:p>
    <w:p w14:paraId="1CF95554" w14:textId="77777777" w:rsidR="00901191" w:rsidRDefault="00901191" w:rsidP="00901191">
      <w:pPr>
        <w:rPr>
          <w:highlight w:val="lightGray"/>
        </w:rPr>
      </w:pPr>
      <w:r>
        <w:rPr>
          <w:highlight w:val="lightGray"/>
        </w:rPr>
        <w:t>&lt;&lt;Website&gt;&gt;</w:t>
      </w:r>
    </w:p>
    <w:p w14:paraId="244B43A5" w14:textId="77777777" w:rsidR="00901191" w:rsidRDefault="00901191" w:rsidP="00901191"/>
    <w:p w14:paraId="766ED965" w14:textId="77777777" w:rsidR="00901191" w:rsidRDefault="00901191" w:rsidP="00901191">
      <w:r>
        <w:t xml:space="preserve">A person may also file a complaint with the appropriate federal, state, or local agency within the time frame required by law. Depending upon the nature of the complaint, the appropriate agency may be </w:t>
      </w:r>
      <w:r w:rsidRPr="00506C8D">
        <w:t xml:space="preserve">the U.S. Department of Education </w:t>
      </w:r>
      <w:r>
        <w:t xml:space="preserve">Office for Civil Rights (OCR), the Department </w:t>
      </w:r>
      <w:r>
        <w:lastRenderedPageBreak/>
        <w:t xml:space="preserve">of Justice, and/or another </w:t>
      </w:r>
      <w:r w:rsidRPr="005244F9">
        <w:t>appropriate federal or state agency</w:t>
      </w:r>
      <w:r w:rsidRPr="00C71938">
        <w:t>.</w:t>
      </w:r>
      <w:r>
        <w:br/>
      </w:r>
    </w:p>
    <w:p w14:paraId="1596EA56" w14:textId="77777777" w:rsidR="00901191" w:rsidRPr="00506C8D" w:rsidRDefault="00901191" w:rsidP="000817F3">
      <w:pPr>
        <w:pStyle w:val="ListParagraph"/>
        <w:numPr>
          <w:ilvl w:val="0"/>
          <w:numId w:val="70"/>
        </w:numPr>
        <w:rPr>
          <w:b/>
          <w:bCs/>
        </w:rPr>
      </w:pPr>
      <w:r w:rsidRPr="00506C8D">
        <w:rPr>
          <w:b/>
          <w:bCs/>
        </w:rPr>
        <w:t>[OCR District/Field Office or appropriate office for each applicable agency]</w:t>
      </w:r>
      <w:r>
        <w:rPr>
          <w:b/>
          <w:bCs/>
        </w:rPr>
        <w:br/>
      </w:r>
    </w:p>
    <w:p w14:paraId="59A8956B" w14:textId="77777777" w:rsidR="00901191" w:rsidRDefault="00901191" w:rsidP="000817F3">
      <w:pPr>
        <w:pStyle w:val="ListParagraph"/>
        <w:numPr>
          <w:ilvl w:val="0"/>
          <w:numId w:val="71"/>
        </w:numPr>
      </w:pPr>
      <w:r w:rsidRPr="00506C8D">
        <w:rPr>
          <w:b/>
          <w:bCs/>
        </w:rPr>
        <w:t>Assistant Secretary for Civil Rights</w:t>
      </w:r>
      <w:r w:rsidRPr="00506C8D">
        <w:rPr>
          <w:b/>
          <w:bCs/>
        </w:rPr>
        <w:br/>
        <w:t>Office for Civil Rights, National Headquarters</w:t>
      </w:r>
      <w:r>
        <w:rPr>
          <w:b/>
          <w:bCs/>
        </w:rPr>
        <w:br/>
      </w:r>
      <w:r>
        <w:t>U.S. Department of Education</w:t>
      </w:r>
    </w:p>
    <w:p w14:paraId="33792235" w14:textId="77777777" w:rsidR="00901191" w:rsidRDefault="00901191" w:rsidP="00901191">
      <w:pPr>
        <w:ind w:left="720"/>
      </w:pPr>
      <w:r>
        <w:t>Lyndon Baines Johnson Dept. of Education Building</w:t>
      </w:r>
    </w:p>
    <w:p w14:paraId="49221A27" w14:textId="77777777" w:rsidR="00901191" w:rsidRDefault="00901191" w:rsidP="00901191">
      <w:pPr>
        <w:ind w:left="720"/>
      </w:pPr>
      <w:r>
        <w:t>400 Maryland Avenue, SW</w:t>
      </w:r>
    </w:p>
    <w:p w14:paraId="3C522E46" w14:textId="77777777" w:rsidR="00901191" w:rsidRDefault="00901191" w:rsidP="00901191">
      <w:pPr>
        <w:ind w:left="720"/>
      </w:pPr>
      <w:r>
        <w:t>Washington, DC 20202-1100</w:t>
      </w:r>
    </w:p>
    <w:p w14:paraId="37C600AE" w14:textId="77777777" w:rsidR="00901191" w:rsidRDefault="00901191" w:rsidP="00901191">
      <w:pPr>
        <w:ind w:left="720"/>
      </w:pPr>
      <w:r>
        <w:t>Telephone: 800-421-3481</w:t>
      </w:r>
    </w:p>
    <w:p w14:paraId="4214F777" w14:textId="77777777" w:rsidR="00901191" w:rsidRDefault="00901191" w:rsidP="00901191">
      <w:pPr>
        <w:ind w:left="720"/>
      </w:pPr>
      <w:r>
        <w:t>Fax: 202-453-6012; TDD: 800-877-8339</w:t>
      </w:r>
    </w:p>
    <w:p w14:paraId="39666B6B" w14:textId="77777777" w:rsidR="00901191" w:rsidRDefault="00901191" w:rsidP="00901191">
      <w:pPr>
        <w:ind w:left="720"/>
      </w:pPr>
      <w:r>
        <w:t>Email: OCR@ed.gov</w:t>
      </w:r>
    </w:p>
    <w:p w14:paraId="2933C3E2" w14:textId="77777777" w:rsidR="00901191" w:rsidRDefault="00901191" w:rsidP="00901191">
      <w:r>
        <w:t xml:space="preserve"> </w:t>
      </w:r>
    </w:p>
    <w:p w14:paraId="41EE910A" w14:textId="77777777" w:rsidR="00901191" w:rsidRDefault="00901191" w:rsidP="00901191">
      <w:r>
        <w:t xml:space="preserve">Within any Resolution Process related to this Policy, </w:t>
      </w:r>
      <w:r w:rsidRPr="00506C8D">
        <w:rPr>
          <w:highlight w:val="lightGray"/>
        </w:rPr>
        <w:t>Recipient</w:t>
      </w:r>
      <w:r>
        <w:t xml:space="preserve"> provides reasonable accommodations to </w:t>
      </w:r>
      <w:proofErr w:type="gramStart"/>
      <w:r>
        <w:t>persons</w:t>
      </w:r>
      <w:proofErr w:type="gramEnd"/>
      <w:r>
        <w:t xml:space="preserve"> with disabilities and religious accommodations, when that accommodation is consistent with federal and state law.</w:t>
      </w:r>
    </w:p>
    <w:p w14:paraId="783F0199" w14:textId="77777777" w:rsidR="00901191" w:rsidRDefault="00901191" w:rsidP="00901191">
      <w:r>
        <w:t xml:space="preserve"> </w:t>
      </w:r>
    </w:p>
    <w:p w14:paraId="242D4A09" w14:textId="77777777" w:rsidR="00901191" w:rsidRDefault="00901191" w:rsidP="00901191">
      <w:r>
        <w:t>Short/Blurb Format:</w:t>
      </w:r>
    </w:p>
    <w:p w14:paraId="787E140E" w14:textId="77777777" w:rsidR="00901191" w:rsidRDefault="00901191" w:rsidP="00901191">
      <w:r>
        <w:t xml:space="preserve"> </w:t>
      </w:r>
    </w:p>
    <w:p w14:paraId="17D466A8" w14:textId="77777777" w:rsidR="00901191" w:rsidRPr="00506C8D" w:rsidRDefault="00901191" w:rsidP="00901191">
      <w:r w:rsidRPr="003C366A">
        <w:rPr>
          <w:highlight w:val="lightGray"/>
        </w:rPr>
        <w:t>Recipient</w:t>
      </w:r>
      <w:r>
        <w:t xml:space="preserve"> does not discriminate in its employment practices or in its educational programs or activities </w:t>
      </w:r>
      <w:proofErr w:type="gramStart"/>
      <w:r>
        <w:t>on the basis of</w:t>
      </w:r>
      <w:proofErr w:type="gramEnd"/>
      <w:r>
        <w:t xml:space="preserve"> sex.</w:t>
      </w:r>
      <w:r>
        <w:rPr>
          <w:rStyle w:val="FootnoteReference"/>
        </w:rPr>
        <w:footnoteReference w:id="48"/>
      </w:r>
      <w:r>
        <w:t xml:space="preserve"> </w:t>
      </w:r>
      <w:r w:rsidRPr="00506C8D">
        <w:rPr>
          <w:highlight w:val="lightGray"/>
        </w:rPr>
        <w:t>Recipient</w:t>
      </w:r>
      <w:r>
        <w:t xml:space="preserve"> also prohibits retaliation against any person opposing discrimination or participating in any internal or external discrimination investigation or complaint process. Reports of misconduct, questions regarding Title IX, and concerns about noncompliance should be directed to the </w:t>
      </w:r>
      <w:r w:rsidRPr="005244F9">
        <w:t>Title IX Coordinator</w:t>
      </w:r>
      <w:r>
        <w:t xml:space="preserve">. For a complete copy of the Policy or for more information, please contact the Title IX Coordinator at </w:t>
      </w:r>
      <w:r w:rsidRPr="00E7435E">
        <w:rPr>
          <w:highlight w:val="lightGray"/>
        </w:rPr>
        <w:t>&lt;&lt;</w:t>
      </w:r>
      <w:r>
        <w:rPr>
          <w:highlight w:val="lightGray"/>
        </w:rPr>
        <w:t>link</w:t>
      </w:r>
      <w:r w:rsidRPr="00E7435E">
        <w:rPr>
          <w:highlight w:val="lightGray"/>
        </w:rPr>
        <w:t>&gt;&gt;</w:t>
      </w:r>
      <w:r>
        <w:t xml:space="preserve"> or address any complaints to the Assistant Secretary of Education within the U.S. Department of Education Office for Civil Rights (OCR). </w:t>
      </w:r>
    </w:p>
    <w:p w14:paraId="4A730163" w14:textId="77777777" w:rsidR="00901191" w:rsidRDefault="00901191" w:rsidP="00901191">
      <w:pPr>
        <w:pStyle w:val="Heading1"/>
        <w:numPr>
          <w:ilvl w:val="0"/>
          <w:numId w:val="0"/>
        </w:numPr>
        <w:jc w:val="center"/>
      </w:pPr>
      <w:bookmarkStart w:id="195" w:name="_APPENDIX_I:_ATIXA"/>
      <w:bookmarkEnd w:id="195"/>
      <w:r>
        <w:br w:type="page"/>
      </w:r>
      <w:bookmarkStart w:id="196" w:name="_APPENDIX_H:_ATIXA"/>
      <w:bookmarkStart w:id="197" w:name="_Toc82511743"/>
      <w:bookmarkStart w:id="198" w:name="_Toc102394064"/>
      <w:bookmarkStart w:id="199" w:name="_Toc168477601"/>
      <w:bookmarkEnd w:id="196"/>
      <w:r>
        <w:lastRenderedPageBreak/>
        <w:t>APPENDIX I: ATIXA RECORD MAINTENANCE AND ACCESS MODEL POLICY</w:t>
      </w:r>
      <w:bookmarkEnd w:id="197"/>
      <w:bookmarkEnd w:id="198"/>
      <w:bookmarkEnd w:id="199"/>
    </w:p>
    <w:p w14:paraId="3909224F" w14:textId="77777777" w:rsidR="00901191" w:rsidRDefault="00901191" w:rsidP="00901191"/>
    <w:p w14:paraId="2E760765" w14:textId="77777777" w:rsidR="00901191" w:rsidRPr="00F3764D" w:rsidRDefault="00901191" w:rsidP="00901191">
      <w:pPr>
        <w:rPr>
          <w:b/>
          <w:bCs/>
        </w:rPr>
      </w:pPr>
      <w:r w:rsidRPr="005244F9">
        <w:rPr>
          <w:b/>
          <w:bCs/>
        </w:rPr>
        <w:t>Policy Scope</w:t>
      </w:r>
    </w:p>
    <w:p w14:paraId="0106673E" w14:textId="77777777" w:rsidR="00901191" w:rsidRDefault="00901191" w:rsidP="00901191"/>
    <w:p w14:paraId="6DB355D1" w14:textId="77777777" w:rsidR="00901191" w:rsidRDefault="00901191" w:rsidP="00901191">
      <w:r>
        <w:t xml:space="preserve">This Policy covers records maintained in any medium that are created pursuant to the </w:t>
      </w:r>
      <w:r w:rsidRPr="00741E83">
        <w:rPr>
          <w:highlight w:val="lightGray"/>
        </w:rPr>
        <w:t>Recipient</w:t>
      </w:r>
      <w:r>
        <w:t xml:space="preserve">’s </w:t>
      </w:r>
      <w:r>
        <w:rPr>
          <w:highlight w:val="lightGray"/>
        </w:rPr>
        <w:t>&lt;&lt;Policy&gt;&gt;</w:t>
      </w:r>
      <w:r>
        <w:t xml:space="preserve"> and/or the regular business of the </w:t>
      </w:r>
      <w:r w:rsidRPr="00741E83">
        <w:rPr>
          <w:highlight w:val="lightGray"/>
        </w:rPr>
        <w:t>Recipient</w:t>
      </w:r>
      <w:r>
        <w:t xml:space="preserve">’s </w:t>
      </w:r>
      <w:r w:rsidRPr="005244F9">
        <w:rPr>
          <w:highlight w:val="lightGray"/>
        </w:rPr>
        <w:t>&lt;&lt;office&gt;&gt;</w:t>
      </w:r>
      <w:r>
        <w:t xml:space="preserve">. All such records are considered private or confidential by the </w:t>
      </w:r>
      <w:r>
        <w:rPr>
          <w:highlight w:val="lightGray"/>
        </w:rPr>
        <w:t>&lt;&lt;o</w:t>
      </w:r>
      <w:r w:rsidRPr="00934D88">
        <w:rPr>
          <w:highlight w:val="lightGray"/>
        </w:rPr>
        <w:t>ffic</w:t>
      </w:r>
      <w:r w:rsidRPr="007C6516">
        <w:rPr>
          <w:highlight w:val="lightGray"/>
        </w:rPr>
        <w:t>e</w:t>
      </w:r>
      <w:r w:rsidRPr="00A70C2E">
        <w:rPr>
          <w:highlight w:val="lightGray"/>
        </w:rPr>
        <w:t>&gt;&gt;</w:t>
      </w:r>
      <w:r>
        <w:t xml:space="preserve">, in accordance with FERPA and the directive from the Department of Education to maintain the confidentiality of records related to discrimination, harassment, and retaliation. These records may be shared internally with those who have a legitimate educational interest and will be shared with the Parties to a Complaint under applicable federal and/or state law. The </w:t>
      </w:r>
      <w:r>
        <w:rPr>
          <w:highlight w:val="lightGray"/>
        </w:rPr>
        <w:t>&lt;&lt;o</w:t>
      </w:r>
      <w:r w:rsidRPr="00934D88">
        <w:rPr>
          <w:highlight w:val="lightGray"/>
        </w:rPr>
        <w:t>ffic</w:t>
      </w:r>
      <w:r w:rsidRPr="007C6516">
        <w:rPr>
          <w:highlight w:val="lightGray"/>
        </w:rPr>
        <w:t>e</w:t>
      </w:r>
      <w:r w:rsidRPr="00A70C2E">
        <w:rPr>
          <w:highlight w:val="lightGray"/>
        </w:rPr>
        <w:t>&gt;&gt;</w:t>
      </w:r>
      <w:r w:rsidRPr="00E7435E">
        <w:t xml:space="preserve"> </w:t>
      </w:r>
      <w:r>
        <w:t xml:space="preserve">controls the dissemination and sharing of any </w:t>
      </w:r>
      <w:proofErr w:type="gramStart"/>
      <w:r>
        <w:t>records</w:t>
      </w:r>
      <w:proofErr w:type="gramEnd"/>
      <w:r>
        <w:t xml:space="preserve"> under its control. </w:t>
      </w:r>
    </w:p>
    <w:p w14:paraId="13F017C9" w14:textId="77777777" w:rsidR="00901191" w:rsidRDefault="00901191" w:rsidP="00901191">
      <w:r>
        <w:t xml:space="preserve"> </w:t>
      </w:r>
    </w:p>
    <w:p w14:paraId="7CCD2566" w14:textId="77777777" w:rsidR="00901191" w:rsidRPr="00F3764D" w:rsidRDefault="00901191" w:rsidP="00901191">
      <w:r w:rsidRPr="005244F9">
        <w:rPr>
          <w:b/>
          <w:bCs/>
        </w:rPr>
        <w:t>Types of Records Covered Under this Policy</w:t>
      </w:r>
    </w:p>
    <w:p w14:paraId="6520C0C6" w14:textId="77777777" w:rsidR="00901191" w:rsidRDefault="00901191" w:rsidP="00901191">
      <w:r>
        <w:t xml:space="preserve"> </w:t>
      </w:r>
    </w:p>
    <w:p w14:paraId="34905C8C" w14:textId="77777777" w:rsidR="00901191" w:rsidRDefault="00901191" w:rsidP="00901191">
      <w:r>
        <w:t xml:space="preserve">Records pertaining to the </w:t>
      </w:r>
      <w:r w:rsidRPr="005244F9">
        <w:rPr>
          <w:highlight w:val="lightGray"/>
        </w:rPr>
        <w:t>&lt;&lt;Policy&gt;&gt;</w:t>
      </w:r>
      <w:r>
        <w:t xml:space="preserve"> include, but are not limited to: </w:t>
      </w:r>
    </w:p>
    <w:p w14:paraId="213B40ED" w14:textId="77777777" w:rsidR="00901191" w:rsidRDefault="00901191" w:rsidP="00901191">
      <w:r>
        <w:t xml:space="preserve"> </w:t>
      </w:r>
    </w:p>
    <w:p w14:paraId="7936844F" w14:textId="77777777" w:rsidR="00901191" w:rsidRDefault="00901191" w:rsidP="000817F3">
      <w:pPr>
        <w:pStyle w:val="ListParagraph"/>
        <w:numPr>
          <w:ilvl w:val="0"/>
          <w:numId w:val="71"/>
        </w:numPr>
      </w:pPr>
      <w:r>
        <w:t>The Complaint</w:t>
      </w:r>
    </w:p>
    <w:p w14:paraId="3B7EBE17" w14:textId="77777777" w:rsidR="00901191" w:rsidRDefault="00901191" w:rsidP="000817F3">
      <w:pPr>
        <w:pStyle w:val="ListParagraph"/>
        <w:numPr>
          <w:ilvl w:val="0"/>
          <w:numId w:val="71"/>
        </w:numPr>
      </w:pPr>
      <w:r>
        <w:t>NOIAs</w:t>
      </w:r>
    </w:p>
    <w:p w14:paraId="084F47B5" w14:textId="77777777" w:rsidR="00901191" w:rsidRDefault="00901191" w:rsidP="000817F3">
      <w:pPr>
        <w:pStyle w:val="ListParagraph"/>
        <w:numPr>
          <w:ilvl w:val="0"/>
          <w:numId w:val="71"/>
        </w:numPr>
      </w:pPr>
      <w:r>
        <w:t>Documentation of notice to the institution, including incident reports</w:t>
      </w:r>
    </w:p>
    <w:p w14:paraId="647EABF1" w14:textId="77777777" w:rsidR="00901191" w:rsidRDefault="00901191" w:rsidP="000817F3">
      <w:pPr>
        <w:pStyle w:val="ListParagraph"/>
        <w:numPr>
          <w:ilvl w:val="0"/>
          <w:numId w:val="71"/>
        </w:numPr>
      </w:pPr>
      <w:r>
        <w:t>Anonymous reports later linked to a specific incident involving known Parties</w:t>
      </w:r>
    </w:p>
    <w:p w14:paraId="6A971770" w14:textId="77777777" w:rsidR="00901191" w:rsidRDefault="00901191" w:rsidP="000817F3">
      <w:pPr>
        <w:pStyle w:val="ListParagraph"/>
        <w:numPr>
          <w:ilvl w:val="0"/>
          <w:numId w:val="71"/>
        </w:numPr>
      </w:pPr>
      <w:r>
        <w:t>Any documentation supporting the initial evaluation</w:t>
      </w:r>
    </w:p>
    <w:p w14:paraId="416B0A31" w14:textId="77777777" w:rsidR="00901191" w:rsidRDefault="00901191" w:rsidP="000817F3">
      <w:pPr>
        <w:pStyle w:val="ListParagraph"/>
        <w:numPr>
          <w:ilvl w:val="0"/>
          <w:numId w:val="71"/>
        </w:numPr>
      </w:pPr>
      <w:r>
        <w:t>Investigation-related evidence (e.g., physical and documentary evidence collected and interview transcripts)</w:t>
      </w:r>
    </w:p>
    <w:p w14:paraId="4272BFDC" w14:textId="77777777" w:rsidR="00901191" w:rsidRDefault="00901191" w:rsidP="000817F3">
      <w:pPr>
        <w:pStyle w:val="ListParagraph"/>
        <w:numPr>
          <w:ilvl w:val="0"/>
          <w:numId w:val="71"/>
        </w:numPr>
      </w:pPr>
      <w:r>
        <w:t>Dismissal-related documentation and appeals</w:t>
      </w:r>
    </w:p>
    <w:p w14:paraId="47372E64" w14:textId="77777777" w:rsidR="00901191" w:rsidRDefault="00901191" w:rsidP="000817F3">
      <w:pPr>
        <w:pStyle w:val="ListParagraph"/>
        <w:numPr>
          <w:ilvl w:val="0"/>
          <w:numId w:val="71"/>
        </w:numPr>
      </w:pPr>
      <w:r>
        <w:t>Documentation related to Emergency Removals, leaves, and interim actions and challenges</w:t>
      </w:r>
    </w:p>
    <w:p w14:paraId="2AFB9982" w14:textId="77777777" w:rsidR="00901191" w:rsidRDefault="00901191" w:rsidP="000817F3">
      <w:pPr>
        <w:pStyle w:val="ListParagraph"/>
        <w:numPr>
          <w:ilvl w:val="0"/>
          <w:numId w:val="71"/>
        </w:numPr>
      </w:pPr>
      <w:r>
        <w:t>Documentation related to the Resolution Process</w:t>
      </w:r>
    </w:p>
    <w:p w14:paraId="113CC847" w14:textId="77777777" w:rsidR="00901191" w:rsidRDefault="00901191" w:rsidP="000817F3">
      <w:pPr>
        <w:pStyle w:val="ListParagraph"/>
        <w:numPr>
          <w:ilvl w:val="0"/>
          <w:numId w:val="71"/>
        </w:numPr>
      </w:pPr>
      <w:r>
        <w:t>The Final Investigation Report and file</w:t>
      </w:r>
    </w:p>
    <w:p w14:paraId="63DBFA2C" w14:textId="77777777" w:rsidR="00901191" w:rsidRDefault="00901191" w:rsidP="000817F3">
      <w:pPr>
        <w:pStyle w:val="ListParagraph"/>
        <w:numPr>
          <w:ilvl w:val="0"/>
          <w:numId w:val="71"/>
        </w:numPr>
      </w:pPr>
      <w:r>
        <w:t>Remedy-related documentation</w:t>
      </w:r>
    </w:p>
    <w:p w14:paraId="09195489" w14:textId="77777777" w:rsidR="00901191" w:rsidRDefault="00901191" w:rsidP="000817F3">
      <w:pPr>
        <w:pStyle w:val="ListParagraph"/>
        <w:numPr>
          <w:ilvl w:val="0"/>
          <w:numId w:val="71"/>
        </w:numPr>
      </w:pPr>
      <w:r>
        <w:t>Supportive measures-related documentation</w:t>
      </w:r>
    </w:p>
    <w:p w14:paraId="2BCCCA7C" w14:textId="77777777" w:rsidR="00901191" w:rsidRDefault="00901191" w:rsidP="000817F3">
      <w:pPr>
        <w:pStyle w:val="ListParagraph"/>
        <w:numPr>
          <w:ilvl w:val="0"/>
          <w:numId w:val="71"/>
        </w:numPr>
      </w:pPr>
      <w:r>
        <w:t>Appeal-related documentation</w:t>
      </w:r>
    </w:p>
    <w:p w14:paraId="6A80D228" w14:textId="77777777" w:rsidR="00901191" w:rsidRDefault="00901191" w:rsidP="000817F3">
      <w:pPr>
        <w:pStyle w:val="ListParagraph"/>
        <w:numPr>
          <w:ilvl w:val="0"/>
          <w:numId w:val="71"/>
        </w:numPr>
      </w:pPr>
      <w:r>
        <w:t>Informal Resolution records</w:t>
      </w:r>
    </w:p>
    <w:p w14:paraId="6B0B43F0" w14:textId="77777777" w:rsidR="00901191" w:rsidRDefault="00901191" w:rsidP="000817F3">
      <w:pPr>
        <w:pStyle w:val="ListParagraph"/>
        <w:numPr>
          <w:ilvl w:val="0"/>
          <w:numId w:val="71"/>
        </w:numPr>
      </w:pPr>
      <w:r>
        <w:t>Outcome Notices</w:t>
      </w:r>
    </w:p>
    <w:p w14:paraId="2A3A2E3F" w14:textId="77777777" w:rsidR="00901191" w:rsidRDefault="00901191" w:rsidP="000817F3">
      <w:pPr>
        <w:pStyle w:val="ListParagraph"/>
        <w:numPr>
          <w:ilvl w:val="0"/>
          <w:numId w:val="71"/>
        </w:numPr>
      </w:pPr>
      <w:r>
        <w:t xml:space="preserve">Any other records typically maintained by the </w:t>
      </w:r>
      <w:r w:rsidRPr="00C75403">
        <w:rPr>
          <w:highlight w:val="lightGray"/>
        </w:rPr>
        <w:t>Recipient</w:t>
      </w:r>
      <w:r>
        <w:t xml:space="preserve"> as part of the Complaint file</w:t>
      </w:r>
    </w:p>
    <w:p w14:paraId="150CFBA2" w14:textId="77777777" w:rsidR="00901191" w:rsidRDefault="00901191" w:rsidP="00901191"/>
    <w:p w14:paraId="2E1E3A0A" w14:textId="77777777" w:rsidR="00901191" w:rsidRDefault="00901191" w:rsidP="00901191">
      <w:pPr>
        <w:ind w:left="360"/>
      </w:pPr>
      <w:r w:rsidRPr="00741E83">
        <w:rPr>
          <w:b/>
          <w:bCs/>
        </w:rPr>
        <w:t>Drafts and Working Files:</w:t>
      </w:r>
      <w:r>
        <w:t xml:space="preserve"> Preliminary drafts and “working files” are not considered records that the </w:t>
      </w:r>
      <w:r w:rsidRPr="00E7435E">
        <w:rPr>
          <w:highlight w:val="lightGray"/>
        </w:rPr>
        <w:t>Recipient</w:t>
      </w:r>
      <w:r>
        <w:t xml:space="preserve"> must maintain, and these are typically destroyed </w:t>
      </w:r>
      <w:proofErr w:type="gramStart"/>
      <w:r>
        <w:t>during the course of</w:t>
      </w:r>
      <w:proofErr w:type="gramEnd"/>
      <w:r>
        <w:t xml:space="preserve"> an investigation or at the conclusion of the Resolution Process. They are preliminary versions of records and other documents that do not state a final position on the subject matter reviewed or are not considered to be in final form by their author and/or the </w:t>
      </w:r>
      <w:r w:rsidRPr="00E7435E">
        <w:rPr>
          <w:highlight w:val="lightGray"/>
        </w:rPr>
        <w:t>Administrator</w:t>
      </w:r>
      <w:r>
        <w:t xml:space="preserve">. An example of a “working file” would be the Investigator’s notes made during an interview on topics that they want to revisit in subsequent interviews. Sole possession records </w:t>
      </w:r>
      <w:r>
        <w:lastRenderedPageBreak/>
        <w:t xml:space="preserve">maintained as such in accordance with FERPA are also included in this category. All drafts of investigation reports shared with the Parties are maintained. </w:t>
      </w:r>
    </w:p>
    <w:p w14:paraId="58A55059" w14:textId="77777777" w:rsidR="00901191" w:rsidRDefault="00901191" w:rsidP="00901191">
      <w:r>
        <w:t xml:space="preserve"> </w:t>
      </w:r>
    </w:p>
    <w:p w14:paraId="59084172" w14:textId="77777777" w:rsidR="00901191" w:rsidRDefault="00901191" w:rsidP="00901191">
      <w:pPr>
        <w:ind w:left="360"/>
      </w:pPr>
      <w:r w:rsidRPr="00741E83">
        <w:rPr>
          <w:b/>
          <w:bCs/>
        </w:rPr>
        <w:t>Attorney Work-Product:</w:t>
      </w:r>
      <w:r>
        <w:t xml:space="preserve"> Communications from the </w:t>
      </w:r>
      <w:r>
        <w:rPr>
          <w:highlight w:val="lightGray"/>
        </w:rPr>
        <w:t>&lt;&lt;o</w:t>
      </w:r>
      <w:r w:rsidRPr="00934D88">
        <w:rPr>
          <w:highlight w:val="lightGray"/>
        </w:rPr>
        <w:t>ffic</w:t>
      </w:r>
      <w:r w:rsidRPr="007C6516">
        <w:rPr>
          <w:highlight w:val="lightGray"/>
        </w:rPr>
        <w:t>e</w:t>
      </w:r>
      <w:r w:rsidRPr="00A70C2E">
        <w:rPr>
          <w:highlight w:val="lightGray"/>
        </w:rPr>
        <w:t>&gt;&gt;</w:t>
      </w:r>
      <w:r>
        <w:t xml:space="preserve"> or its designees with the </w:t>
      </w:r>
      <w:r w:rsidRPr="00741E83">
        <w:rPr>
          <w:highlight w:val="lightGray"/>
        </w:rPr>
        <w:t>Recipient</w:t>
      </w:r>
      <w:r>
        <w:t xml:space="preserve">’s legal counsel may be work product protected by attorney-client privilege. These privileged communications are not considered records to be maintained by the </w:t>
      </w:r>
      <w:r>
        <w:rPr>
          <w:highlight w:val="lightGray"/>
        </w:rPr>
        <w:t>&lt;&lt;o</w:t>
      </w:r>
      <w:r w:rsidRPr="00934D88">
        <w:rPr>
          <w:highlight w:val="lightGray"/>
        </w:rPr>
        <w:t>ffic</w:t>
      </w:r>
      <w:r w:rsidRPr="007C6516">
        <w:rPr>
          <w:highlight w:val="lightGray"/>
        </w:rPr>
        <w:t>e</w:t>
      </w:r>
      <w:r w:rsidRPr="00A70C2E">
        <w:rPr>
          <w:highlight w:val="lightGray"/>
        </w:rPr>
        <w:t>&gt;&gt;</w:t>
      </w:r>
      <w:r w:rsidRPr="00E7435E">
        <w:t xml:space="preserve"> </w:t>
      </w:r>
      <w:r>
        <w:t xml:space="preserve">or accessible under this Policy unless the </w:t>
      </w:r>
      <w:r w:rsidRPr="0024103E">
        <w:rPr>
          <w:highlight w:val="lightGray"/>
        </w:rPr>
        <w:t>Administrator</w:t>
      </w:r>
      <w:r>
        <w:t xml:space="preserve">, in consultation with legal counsel as necessary, determines that these communications should be included as accessible records. </w:t>
      </w:r>
    </w:p>
    <w:p w14:paraId="2CC38776" w14:textId="77777777" w:rsidR="00901191" w:rsidRDefault="00901191" w:rsidP="00901191">
      <w:r>
        <w:t xml:space="preserve"> </w:t>
      </w:r>
    </w:p>
    <w:p w14:paraId="6430738F" w14:textId="77777777" w:rsidR="00901191" w:rsidRPr="00F3764D" w:rsidRDefault="00901191" w:rsidP="00901191">
      <w:pPr>
        <w:rPr>
          <w:b/>
          <w:bCs/>
        </w:rPr>
      </w:pPr>
      <w:r w:rsidRPr="005244F9">
        <w:rPr>
          <w:b/>
          <w:bCs/>
        </w:rPr>
        <w:t>Record Storage</w:t>
      </w:r>
    </w:p>
    <w:p w14:paraId="31CE2FE8" w14:textId="77777777" w:rsidR="00901191" w:rsidRDefault="00901191" w:rsidP="00901191">
      <w:r>
        <w:t xml:space="preserve"> </w:t>
      </w:r>
    </w:p>
    <w:p w14:paraId="4E10B3E4" w14:textId="77777777" w:rsidR="00901191" w:rsidRDefault="00901191" w:rsidP="00901191">
      <w:r>
        <w:t xml:space="preserve">Records may be created and maintained in different media formats; this Policy applies to all records, irrespective of format. All records created pursuant to the Policy, as defined above, must be stored in digital format and maintained by </w:t>
      </w:r>
      <w:r>
        <w:rPr>
          <w:highlight w:val="lightGray"/>
        </w:rPr>
        <w:t>&lt;&lt;o</w:t>
      </w:r>
      <w:r w:rsidRPr="00934D88">
        <w:rPr>
          <w:highlight w:val="lightGray"/>
        </w:rPr>
        <w:t>ffic</w:t>
      </w:r>
      <w:r w:rsidRPr="007C6516">
        <w:rPr>
          <w:highlight w:val="lightGray"/>
        </w:rPr>
        <w:t>e</w:t>
      </w:r>
      <w:r w:rsidRPr="00A70C2E">
        <w:rPr>
          <w:highlight w:val="lightGray"/>
        </w:rPr>
        <w:t>&gt;&gt;</w:t>
      </w:r>
      <w:r>
        <w:t xml:space="preserve">. The complete file must be transferred to the </w:t>
      </w:r>
      <w:r>
        <w:rPr>
          <w:highlight w:val="lightGray"/>
        </w:rPr>
        <w:t>&lt;&lt;o</w:t>
      </w:r>
      <w:r w:rsidRPr="00934D88">
        <w:rPr>
          <w:highlight w:val="lightGray"/>
        </w:rPr>
        <w:t>ffic</w:t>
      </w:r>
      <w:r w:rsidRPr="007C6516">
        <w:rPr>
          <w:highlight w:val="lightGray"/>
        </w:rPr>
        <w:t>e</w:t>
      </w:r>
      <w:r w:rsidRPr="00A70C2E">
        <w:rPr>
          <w:highlight w:val="lightGray"/>
        </w:rPr>
        <w:t>&gt;&gt;</w:t>
      </w:r>
      <w:r>
        <w:t>, typically</w:t>
      </w:r>
      <w:r w:rsidRPr="00E7435E">
        <w:t xml:space="preserve"> </w:t>
      </w:r>
      <w:r>
        <w:t xml:space="preserve">within </w:t>
      </w:r>
      <w:r w:rsidRPr="005244F9">
        <w:t>fourteen (14) business days</w:t>
      </w:r>
      <w:r>
        <w:t xml:space="preserve"> of the complaint resolution (including any appeal), if the file is not already maintained within the </w:t>
      </w:r>
      <w:r>
        <w:rPr>
          <w:highlight w:val="lightGray"/>
        </w:rPr>
        <w:t>&lt;&lt;o</w:t>
      </w:r>
      <w:r w:rsidRPr="00934D88">
        <w:rPr>
          <w:highlight w:val="lightGray"/>
        </w:rPr>
        <w:t>ffic</w:t>
      </w:r>
      <w:r w:rsidRPr="007C6516">
        <w:rPr>
          <w:highlight w:val="lightGray"/>
        </w:rPr>
        <w:t>e</w:t>
      </w:r>
      <w:r w:rsidRPr="00A70C2E">
        <w:rPr>
          <w:highlight w:val="lightGray"/>
        </w:rPr>
        <w:t>&gt;&gt;</w:t>
      </w:r>
      <w:r>
        <w:t xml:space="preserve">. Security protocols must be in place to preserve the integrity and privacy of any parts of any record that are maintained in the </w:t>
      </w:r>
      <w:r>
        <w:rPr>
          <w:highlight w:val="lightGray"/>
        </w:rPr>
        <w:t>&lt;&lt;o</w:t>
      </w:r>
      <w:r w:rsidRPr="00934D88">
        <w:rPr>
          <w:highlight w:val="lightGray"/>
        </w:rPr>
        <w:t>ffic</w:t>
      </w:r>
      <w:r w:rsidRPr="007C6516">
        <w:rPr>
          <w:highlight w:val="lightGray"/>
        </w:rPr>
        <w:t>e</w:t>
      </w:r>
      <w:r w:rsidRPr="00A70C2E">
        <w:rPr>
          <w:highlight w:val="lightGray"/>
        </w:rPr>
        <w:t>&gt;&gt;</w:t>
      </w:r>
      <w:r w:rsidRPr="00E7435E">
        <w:t xml:space="preserve"> </w:t>
      </w:r>
      <w:r>
        <w:t xml:space="preserve">during the pendency of an investigation. </w:t>
      </w:r>
    </w:p>
    <w:p w14:paraId="71D21F25" w14:textId="77777777" w:rsidR="00901191" w:rsidRDefault="00901191" w:rsidP="00901191">
      <w:r>
        <w:t xml:space="preserve"> </w:t>
      </w:r>
    </w:p>
    <w:p w14:paraId="2501CF2C" w14:textId="77777777" w:rsidR="00901191" w:rsidRDefault="00901191" w:rsidP="00901191">
      <w:r>
        <w:t xml:space="preserve">The </w:t>
      </w:r>
      <w:r>
        <w:rPr>
          <w:highlight w:val="lightGray"/>
        </w:rPr>
        <w:t>&lt;&lt;o</w:t>
      </w:r>
      <w:r w:rsidRPr="00934D88">
        <w:rPr>
          <w:highlight w:val="lightGray"/>
        </w:rPr>
        <w:t>ffic</w:t>
      </w:r>
      <w:r w:rsidRPr="007C6516">
        <w:rPr>
          <w:highlight w:val="lightGray"/>
        </w:rPr>
        <w:t>e</w:t>
      </w:r>
      <w:r w:rsidRPr="00A70C2E">
        <w:rPr>
          <w:highlight w:val="lightGray"/>
        </w:rPr>
        <w:t>&gt;&gt;</w:t>
      </w:r>
      <w:r w:rsidRPr="00E7435E">
        <w:t xml:space="preserve"> </w:t>
      </w:r>
      <w:r>
        <w:t>will store all records created pursuant to the Policy, regardless of the identities of the Parties. Any extra (non-essential) copies of the records (both digital and paper) must be destroyed.</w:t>
      </w:r>
    </w:p>
    <w:p w14:paraId="517580DB" w14:textId="77777777" w:rsidR="00901191" w:rsidRDefault="00901191" w:rsidP="00901191">
      <w:r>
        <w:t xml:space="preserve"> </w:t>
      </w:r>
    </w:p>
    <w:p w14:paraId="23DD4267" w14:textId="77777777" w:rsidR="00901191" w:rsidRDefault="00901191" w:rsidP="00901191">
      <w:r>
        <w:t xml:space="preserve">A copy of records showing compliance with any applicable Clery Act/Violence Against Women Act (VAWA) requirements will be maintained along with the Complaint file by the </w:t>
      </w:r>
      <w:r>
        <w:rPr>
          <w:highlight w:val="lightGray"/>
        </w:rPr>
        <w:t>&lt;&lt;o</w:t>
      </w:r>
      <w:r w:rsidRPr="00934D88">
        <w:rPr>
          <w:highlight w:val="lightGray"/>
        </w:rPr>
        <w:t>ffic</w:t>
      </w:r>
      <w:r w:rsidRPr="007C6516">
        <w:rPr>
          <w:highlight w:val="lightGray"/>
        </w:rPr>
        <w:t>e</w:t>
      </w:r>
      <w:r w:rsidRPr="00A70C2E">
        <w:rPr>
          <w:highlight w:val="lightGray"/>
        </w:rPr>
        <w:t>&gt;&gt;</w:t>
      </w:r>
      <w:r>
        <w:t>.</w:t>
      </w:r>
    </w:p>
    <w:p w14:paraId="7A493205" w14:textId="77777777" w:rsidR="00901191" w:rsidRPr="00F3764D" w:rsidRDefault="00901191" w:rsidP="00901191"/>
    <w:p w14:paraId="6510EA64" w14:textId="77777777" w:rsidR="00901191" w:rsidRPr="00F3764D" w:rsidRDefault="00901191" w:rsidP="00901191">
      <w:r w:rsidRPr="005244F9">
        <w:rPr>
          <w:b/>
          <w:bCs/>
        </w:rPr>
        <w:t xml:space="preserve">Title IX </w:t>
      </w:r>
      <w:r w:rsidRPr="00F3764D">
        <w:rPr>
          <w:b/>
          <w:bCs/>
        </w:rPr>
        <w:t>T</w:t>
      </w:r>
      <w:r w:rsidRPr="005244F9">
        <w:rPr>
          <w:b/>
          <w:bCs/>
        </w:rPr>
        <w:t xml:space="preserve">raining </w:t>
      </w:r>
      <w:r w:rsidRPr="00F3764D">
        <w:rPr>
          <w:b/>
          <w:bCs/>
        </w:rPr>
        <w:t>M</w:t>
      </w:r>
      <w:r w:rsidRPr="005244F9">
        <w:rPr>
          <w:b/>
          <w:bCs/>
        </w:rPr>
        <w:t>aterials</w:t>
      </w:r>
      <w:r w:rsidRPr="00F3764D">
        <w:t xml:space="preserve"> </w:t>
      </w:r>
    </w:p>
    <w:p w14:paraId="54FCF2D7" w14:textId="77777777" w:rsidR="00901191" w:rsidRDefault="00901191" w:rsidP="00901191"/>
    <w:p w14:paraId="06FD0D42" w14:textId="77777777" w:rsidR="00901191" w:rsidRDefault="00901191" w:rsidP="00901191">
      <w:proofErr w:type="gramStart"/>
      <w:r w:rsidRPr="005244F9">
        <w:rPr>
          <w:highlight w:val="lightGray"/>
        </w:rPr>
        <w:t>Recipient</w:t>
      </w:r>
      <w:proofErr w:type="gramEnd"/>
      <w:r>
        <w:t xml:space="preserve"> will also maintain copies of the slides or other materials from all Title IX training for the Resolution Process Pool members, the </w:t>
      </w:r>
      <w:r w:rsidRPr="005244F9">
        <w:rPr>
          <w:highlight w:val="lightGray"/>
        </w:rPr>
        <w:t>&lt;&lt;Nondiscrimination Team&gt;&gt;</w:t>
      </w:r>
      <w:r>
        <w:t xml:space="preserve">, and employees. Trainings occurring prior to August 1, 2024, are posted online at </w:t>
      </w:r>
      <w:r>
        <w:rPr>
          <w:highlight w:val="lightGray"/>
        </w:rPr>
        <w:t>&lt;&lt;link&gt;&gt;</w:t>
      </w:r>
      <w:r>
        <w:t xml:space="preserve">, and trainings occurring after August 1, 2024, are available for review upon request to the </w:t>
      </w:r>
      <w:r w:rsidRPr="005244F9">
        <w:rPr>
          <w:highlight w:val="lightGray"/>
        </w:rPr>
        <w:t>Administrator</w:t>
      </w:r>
      <w:r>
        <w:t xml:space="preserve">. </w:t>
      </w:r>
    </w:p>
    <w:p w14:paraId="34F246B6" w14:textId="77777777" w:rsidR="00901191" w:rsidRDefault="00901191" w:rsidP="00901191"/>
    <w:p w14:paraId="4D8F94A0" w14:textId="77777777" w:rsidR="00901191" w:rsidRPr="00F3764D" w:rsidRDefault="00901191" w:rsidP="00901191">
      <w:r w:rsidRPr="005244F9">
        <w:rPr>
          <w:b/>
          <w:bCs/>
        </w:rPr>
        <w:t>Record Retention</w:t>
      </w:r>
    </w:p>
    <w:p w14:paraId="1845962B" w14:textId="77777777" w:rsidR="00901191" w:rsidRDefault="00901191" w:rsidP="00901191">
      <w:r>
        <w:t xml:space="preserve"> </w:t>
      </w:r>
    </w:p>
    <w:p w14:paraId="409EB382" w14:textId="77777777" w:rsidR="00901191" w:rsidRDefault="00901191" w:rsidP="00901191">
      <w:r>
        <w:t xml:space="preserve">All records created and maintained pursuant to the Policy will be retained by the </w:t>
      </w:r>
      <w:r w:rsidRPr="005244F9">
        <w:rPr>
          <w:highlight w:val="lightGray"/>
        </w:rPr>
        <w:t>&lt;&lt;office&gt;&gt;</w:t>
      </w:r>
      <w:r>
        <w:t xml:space="preserve"> for a minimum of seven (7) </w:t>
      </w:r>
      <w:r w:rsidRPr="00E83088">
        <w:t xml:space="preserve">years </w:t>
      </w:r>
      <w:r w:rsidRPr="005244F9">
        <w:t>in database, digital, and/or paper form</w:t>
      </w:r>
      <w:r w:rsidRPr="00E83088">
        <w:t>.</w:t>
      </w:r>
      <w:r>
        <w:t xml:space="preserve"> Except for records pertaining to Title IX and the Clery Act/VAWA, the </w:t>
      </w:r>
      <w:r w:rsidRPr="005244F9">
        <w:rPr>
          <w:highlight w:val="lightGray"/>
        </w:rPr>
        <w:t>Administrator</w:t>
      </w:r>
      <w:r>
        <w:t xml:space="preserve"> may authorize destruction or expungement acting under their own discretion, or in accordance with a duly executed and binding claim settlement and/or by court or government order. </w:t>
      </w:r>
    </w:p>
    <w:p w14:paraId="23594B6F" w14:textId="77777777" w:rsidR="00901191" w:rsidRDefault="00901191" w:rsidP="00901191">
      <w:r>
        <w:t xml:space="preserve"> </w:t>
      </w:r>
    </w:p>
    <w:p w14:paraId="33AFA68F" w14:textId="77777777" w:rsidR="00901191" w:rsidRPr="000971D8" w:rsidRDefault="00901191" w:rsidP="00901191">
      <w:pPr>
        <w:rPr>
          <w:b/>
          <w:bCs/>
        </w:rPr>
      </w:pPr>
      <w:r w:rsidRPr="005244F9">
        <w:rPr>
          <w:b/>
          <w:bCs/>
        </w:rPr>
        <w:t>Record Access</w:t>
      </w:r>
    </w:p>
    <w:p w14:paraId="74958F7E" w14:textId="77777777" w:rsidR="00901191" w:rsidRDefault="00901191" w:rsidP="00901191">
      <w:r>
        <w:t xml:space="preserve"> </w:t>
      </w:r>
    </w:p>
    <w:p w14:paraId="28AEC2EB" w14:textId="77777777" w:rsidR="00901191" w:rsidRDefault="00901191" w:rsidP="00901191">
      <w:r>
        <w:lastRenderedPageBreak/>
        <w:t xml:space="preserve">Access to records created pursuant to the Policy or housed in the </w:t>
      </w:r>
      <w:r>
        <w:rPr>
          <w:highlight w:val="lightGray"/>
        </w:rPr>
        <w:t>&lt;&lt;o</w:t>
      </w:r>
      <w:r w:rsidRPr="00934D88">
        <w:rPr>
          <w:highlight w:val="lightGray"/>
        </w:rPr>
        <w:t>ffic</w:t>
      </w:r>
      <w:r w:rsidRPr="007C6516">
        <w:rPr>
          <w:highlight w:val="lightGray"/>
        </w:rPr>
        <w:t>e</w:t>
      </w:r>
      <w:r w:rsidRPr="00A70C2E">
        <w:rPr>
          <w:highlight w:val="lightGray"/>
        </w:rPr>
        <w:t>&gt;&gt;</w:t>
      </w:r>
      <w:r w:rsidRPr="00E7435E">
        <w:t xml:space="preserve"> </w:t>
      </w:r>
      <w:r>
        <w:t xml:space="preserve">is strictly limited to the </w:t>
      </w:r>
      <w:r w:rsidRPr="00E7435E">
        <w:rPr>
          <w:highlight w:val="lightGray"/>
        </w:rPr>
        <w:t>Administrator</w:t>
      </w:r>
      <w:r>
        <w:t xml:space="preserve"> and any person they authorize in writing, at their discretion, </w:t>
      </w:r>
      <w:r w:rsidRPr="005244F9">
        <w:t>or via permission levels within the database.</w:t>
      </w:r>
      <w:r>
        <w:t xml:space="preserve"> Those who are granted broad access to the </w:t>
      </w:r>
      <w:r>
        <w:rPr>
          <w:highlight w:val="lightGray"/>
        </w:rPr>
        <w:t>&lt;&lt;o</w:t>
      </w:r>
      <w:r w:rsidRPr="00934D88">
        <w:rPr>
          <w:highlight w:val="lightGray"/>
        </w:rPr>
        <w:t>ffic</w:t>
      </w:r>
      <w:r w:rsidRPr="007C6516">
        <w:rPr>
          <w:highlight w:val="lightGray"/>
        </w:rPr>
        <w:t>e</w:t>
      </w:r>
      <w:r w:rsidRPr="00A70C2E">
        <w:rPr>
          <w:highlight w:val="lightGray"/>
        </w:rPr>
        <w:t>&gt;&gt;</w:t>
      </w:r>
      <w:r>
        <w:t xml:space="preserve"> records are expected to access only those pertinent to their scope, work, or specific assignment. Anyone who accesses such records without proper authorization may be subject to an investigation and possible discipline/sanction. The discipline/sanction for unauthorized access of records covered by this Policy will be at the discretion of the appropriate disciplinary authority, consistent with other relevant </w:t>
      </w:r>
      <w:r w:rsidRPr="00934D88">
        <w:rPr>
          <w:highlight w:val="lightGray"/>
        </w:rPr>
        <w:t>Recipient</w:t>
      </w:r>
      <w:r>
        <w:t xml:space="preserve"> policies and procedures. </w:t>
      </w:r>
    </w:p>
    <w:p w14:paraId="53788BCF" w14:textId="77777777" w:rsidR="00901191" w:rsidRDefault="00901191" w:rsidP="00901191"/>
    <w:p w14:paraId="52986741" w14:textId="77777777" w:rsidR="00901191" w:rsidRDefault="00901191" w:rsidP="00901191">
      <w:r>
        <w:t xml:space="preserve">Student Parties may request access to their complaint file. The </w:t>
      </w:r>
      <w:r w:rsidRPr="00934D88">
        <w:rPr>
          <w:highlight w:val="lightGray"/>
        </w:rPr>
        <w:t>Recipient</w:t>
      </w:r>
      <w:r>
        <w:t xml:space="preserve"> will provide access or a copy within 45 days of the request. Appropriate redactions of personally identifiable information may be made before inspection, or any copy is shared. </w:t>
      </w:r>
    </w:p>
    <w:p w14:paraId="3BBE0766" w14:textId="77777777" w:rsidR="00901191" w:rsidRDefault="00901191" w:rsidP="00901191"/>
    <w:p w14:paraId="042EA548" w14:textId="77777777" w:rsidR="00901191" w:rsidRDefault="00901191" w:rsidP="00901191">
      <w:r>
        <w:t xml:space="preserve">During the investigation, materials may be shared with the Parties using secure file transmission software. The </w:t>
      </w:r>
      <w:r w:rsidRPr="00D77A5F">
        <w:rPr>
          <w:highlight w:val="lightGray"/>
        </w:rPr>
        <w:t>&lt;&lt;office&gt;&gt;</w:t>
      </w:r>
      <w:r>
        <w:t xml:space="preserve"> will watermark any such file with the watermark identifying the role of the person in the process (e.g., Complainant, Respondent, Decision-maker; Complainant’s Advisor) before sharing. </w:t>
      </w:r>
    </w:p>
    <w:p w14:paraId="0C876ABD" w14:textId="77777777" w:rsidR="00901191" w:rsidRDefault="00901191" w:rsidP="00901191"/>
    <w:p w14:paraId="42169540" w14:textId="77777777" w:rsidR="00901191" w:rsidRDefault="00901191" w:rsidP="00901191">
      <w:proofErr w:type="gramStart"/>
      <w:r w:rsidRPr="00741E83">
        <w:rPr>
          <w:highlight w:val="lightGray"/>
        </w:rPr>
        <w:t>Recipient</w:t>
      </w:r>
      <w:proofErr w:type="gramEnd"/>
      <w:r>
        <w:t xml:space="preserve"> will maintain an access log of each case file, showing when and by whom it was accessed and for what purpose.</w:t>
      </w:r>
    </w:p>
    <w:p w14:paraId="776881C0" w14:textId="77777777" w:rsidR="00901191" w:rsidRDefault="00901191" w:rsidP="00901191">
      <w:r>
        <w:t xml:space="preserve"> </w:t>
      </w:r>
    </w:p>
    <w:p w14:paraId="7F46AA38" w14:textId="77777777" w:rsidR="00901191" w:rsidRPr="00741E83" w:rsidRDefault="00901191" w:rsidP="00901191">
      <w:pPr>
        <w:rPr>
          <w:b/>
          <w:bCs/>
        </w:rPr>
      </w:pPr>
      <w:r>
        <w:rPr>
          <w:b/>
          <w:bCs/>
          <w:highlight w:val="lightGray"/>
          <w:u w:val="single"/>
        </w:rPr>
        <w:t>[</w:t>
      </w:r>
      <w:r w:rsidRPr="005244F9">
        <w:rPr>
          <w:b/>
          <w:bCs/>
          <w:highlight w:val="lightGray"/>
        </w:rPr>
        <w:t>Record Expungement</w:t>
      </w:r>
      <w:r w:rsidRPr="00CC31C2">
        <w:rPr>
          <w:b/>
          <w:bCs/>
          <w:highlight w:val="lightGray"/>
        </w:rPr>
        <w:t>]</w:t>
      </w:r>
    </w:p>
    <w:p w14:paraId="54FD0FC4" w14:textId="77777777" w:rsidR="00901191" w:rsidRDefault="00901191" w:rsidP="00901191"/>
    <w:p w14:paraId="0B52C1ED" w14:textId="77777777" w:rsidR="00901191" w:rsidRDefault="00901191" w:rsidP="00901191">
      <w:r>
        <w:rPr>
          <w:highlight w:val="lightGray"/>
        </w:rPr>
        <w:t>&lt;&lt;</w:t>
      </w:r>
      <w:r w:rsidRPr="00741E83">
        <w:rPr>
          <w:highlight w:val="lightGray"/>
        </w:rPr>
        <w:t>applicable expungement provisions</w:t>
      </w:r>
      <w:r w:rsidRPr="00E7435E">
        <w:rPr>
          <w:highlight w:val="lightGray"/>
        </w:rPr>
        <w:t>&gt;&gt;</w:t>
      </w:r>
    </w:p>
    <w:p w14:paraId="00E64DE9" w14:textId="77777777" w:rsidR="00901191" w:rsidRDefault="00901191" w:rsidP="00901191"/>
    <w:p w14:paraId="1E478896" w14:textId="77777777" w:rsidR="00901191" w:rsidRPr="00E67944" w:rsidRDefault="00901191" w:rsidP="00901191">
      <w:pPr>
        <w:rPr>
          <w:b/>
          <w:bCs/>
        </w:rPr>
      </w:pPr>
      <w:r w:rsidRPr="005244F9">
        <w:rPr>
          <w:b/>
          <w:bCs/>
        </w:rPr>
        <w:t>Record Security</w:t>
      </w:r>
    </w:p>
    <w:p w14:paraId="394FAB06" w14:textId="77777777" w:rsidR="00901191" w:rsidRDefault="00901191" w:rsidP="00901191">
      <w:r>
        <w:t xml:space="preserve"> </w:t>
      </w:r>
    </w:p>
    <w:p w14:paraId="4060E3ED" w14:textId="57F531CC" w:rsidR="00901191" w:rsidRDefault="00901191" w:rsidP="00901191">
      <w:r>
        <w:t xml:space="preserve">The </w:t>
      </w:r>
      <w:r w:rsidRPr="00E7435E">
        <w:rPr>
          <w:highlight w:val="lightGray"/>
        </w:rPr>
        <w:t>Administrator</w:t>
      </w:r>
      <w:r>
        <w:t xml:space="preserve"> is expected to maintain appropriate security practices for all records, including password protection, lock and key, and other barriers to access as appropriate. Record security should include protection from floods, fire, and other potential emergencies. Clothing, forensic, and other physical evidence should be securely stored </w:t>
      </w:r>
      <w:r w:rsidRPr="005244F9">
        <w:t xml:space="preserve">in the </w:t>
      </w:r>
      <w:r>
        <w:rPr>
          <w:highlight w:val="lightGray"/>
        </w:rPr>
        <w:t>&lt;&lt;office&gt;&gt;</w:t>
      </w:r>
      <w:r w:rsidRPr="00D77A5F">
        <w:t xml:space="preserve"> </w:t>
      </w:r>
      <w:r w:rsidRPr="005244F9">
        <w:t>or another appropriate secure location</w:t>
      </w:r>
      <w:r>
        <w:t xml:space="preserve">. All physical evidence will be maintained in a facility that is reasonably protected from </w:t>
      </w:r>
      <w:proofErr w:type="gramStart"/>
      <w:r>
        <w:t>flood</w:t>
      </w:r>
      <w:proofErr w:type="gramEnd"/>
      <w:r>
        <w:t xml:space="preserve"> and fire. A catalog of all physical evidence will be retained with the Complaint file.</w:t>
      </w:r>
      <w:bookmarkEnd w:id="194"/>
      <w:r>
        <w:br/>
      </w:r>
    </w:p>
    <w:p w14:paraId="56272343" w14:textId="77777777" w:rsidR="007D382A" w:rsidRDefault="007D382A">
      <w:pPr>
        <w:spacing w:after="160" w:line="259" w:lineRule="auto"/>
        <w:rPr>
          <w:rFonts w:cs="Calibri"/>
          <w:b/>
          <w:bCs/>
        </w:rPr>
      </w:pPr>
      <w:r>
        <w:br w:type="page"/>
      </w:r>
    </w:p>
    <w:p w14:paraId="229638ED" w14:textId="694D50F1" w:rsidR="00901191" w:rsidRDefault="00901191" w:rsidP="00901191">
      <w:pPr>
        <w:pStyle w:val="Heading2"/>
        <w:numPr>
          <w:ilvl w:val="0"/>
          <w:numId w:val="0"/>
        </w:numPr>
        <w:jc w:val="center"/>
      </w:pPr>
      <w:bookmarkStart w:id="200" w:name="_APPENDIX_J:_TRAINING"/>
      <w:bookmarkStart w:id="201" w:name="_Toc168477602"/>
      <w:bookmarkEnd w:id="200"/>
      <w:r>
        <w:lastRenderedPageBreak/>
        <w:t>APPENDIX J: TRAINING FOR MEMBERS OF THE RESOLUTION PROCESS POOL</w:t>
      </w:r>
      <w:bookmarkEnd w:id="201"/>
    </w:p>
    <w:p w14:paraId="7812A78C" w14:textId="77777777" w:rsidR="00901191" w:rsidRDefault="00901191" w:rsidP="00901191">
      <w:pPr>
        <w:ind w:left="720"/>
      </w:pPr>
    </w:p>
    <w:p w14:paraId="7EB2A2B0" w14:textId="77777777" w:rsidR="00901191" w:rsidRDefault="00901191" w:rsidP="00901191">
      <w:r>
        <w:t xml:space="preserve">Resolution Process Pool members receive annual training related to their respective roles. This training may include, but is not limited to: </w:t>
      </w:r>
    </w:p>
    <w:p w14:paraId="26182B75" w14:textId="77777777" w:rsidR="00901191" w:rsidRDefault="00901191" w:rsidP="00901191"/>
    <w:p w14:paraId="0847E22D" w14:textId="77777777" w:rsidR="00901191" w:rsidRDefault="00901191" w:rsidP="000817F3">
      <w:pPr>
        <w:pStyle w:val="ListParagraph"/>
        <w:numPr>
          <w:ilvl w:val="0"/>
          <w:numId w:val="74"/>
        </w:numPr>
      </w:pPr>
      <w:r>
        <w:t xml:space="preserve">The scope of the </w:t>
      </w:r>
      <w:r w:rsidRPr="00046D7B">
        <w:rPr>
          <w:highlight w:val="lightGray"/>
        </w:rPr>
        <w:t>Recipient</w:t>
      </w:r>
      <w:r>
        <w:t xml:space="preserve">’s </w:t>
      </w:r>
      <w:r w:rsidRPr="00046D7B">
        <w:rPr>
          <w:highlight w:val="lightGray"/>
        </w:rPr>
        <w:t>&lt;&lt;Policy&gt;&gt;</w:t>
      </w:r>
      <w:r>
        <w:t xml:space="preserve"> </w:t>
      </w:r>
    </w:p>
    <w:p w14:paraId="48BC9471" w14:textId="77777777" w:rsidR="00901191" w:rsidRDefault="00901191" w:rsidP="000817F3">
      <w:pPr>
        <w:pStyle w:val="ListParagraph"/>
        <w:numPr>
          <w:ilvl w:val="0"/>
          <w:numId w:val="74"/>
        </w:numPr>
      </w:pPr>
      <w:r>
        <w:t xml:space="preserve">The </w:t>
      </w:r>
      <w:r w:rsidRPr="00046D7B">
        <w:rPr>
          <w:highlight w:val="lightGray"/>
        </w:rPr>
        <w:t>Recipient</w:t>
      </w:r>
      <w:r>
        <w:t>’s Resolution Process</w:t>
      </w:r>
    </w:p>
    <w:p w14:paraId="05978075" w14:textId="77777777" w:rsidR="00901191" w:rsidRDefault="00901191" w:rsidP="000817F3">
      <w:pPr>
        <w:pStyle w:val="ListParagraph"/>
        <w:numPr>
          <w:ilvl w:val="0"/>
          <w:numId w:val="74"/>
        </w:numPr>
      </w:pPr>
      <w:r>
        <w:t>How to conduct investigations and hearings that protect the safety of Complainants and Respondents, and promote accountability</w:t>
      </w:r>
    </w:p>
    <w:p w14:paraId="2027ADF8" w14:textId="77777777" w:rsidR="00901191" w:rsidRDefault="00901191" w:rsidP="000817F3">
      <w:pPr>
        <w:pStyle w:val="ListParagraph"/>
        <w:numPr>
          <w:ilvl w:val="0"/>
          <w:numId w:val="74"/>
        </w:numPr>
      </w:pPr>
      <w:r>
        <w:t>Implicit bias and confirmation bias</w:t>
      </w:r>
    </w:p>
    <w:p w14:paraId="2D49D60A" w14:textId="77777777" w:rsidR="00901191" w:rsidRDefault="00901191" w:rsidP="000817F3">
      <w:pPr>
        <w:pStyle w:val="ListParagraph"/>
        <w:numPr>
          <w:ilvl w:val="0"/>
          <w:numId w:val="74"/>
        </w:numPr>
      </w:pPr>
      <w:r>
        <w:t>Treating Parties equitably</w:t>
      </w:r>
    </w:p>
    <w:p w14:paraId="04A51A66" w14:textId="77777777" w:rsidR="00901191" w:rsidRDefault="00901191" w:rsidP="000817F3">
      <w:pPr>
        <w:pStyle w:val="ListParagraph"/>
        <w:numPr>
          <w:ilvl w:val="0"/>
          <w:numId w:val="74"/>
        </w:numPr>
      </w:pPr>
      <w:r>
        <w:t xml:space="preserve">Disparate treatment </w:t>
      </w:r>
    </w:p>
    <w:p w14:paraId="4CF26996" w14:textId="77777777" w:rsidR="00901191" w:rsidRDefault="00901191" w:rsidP="000817F3">
      <w:pPr>
        <w:pStyle w:val="ListParagraph"/>
        <w:numPr>
          <w:ilvl w:val="0"/>
          <w:numId w:val="74"/>
        </w:numPr>
      </w:pPr>
      <w:r>
        <w:t>Disparate impact</w:t>
      </w:r>
    </w:p>
    <w:p w14:paraId="0AC9719E" w14:textId="77777777" w:rsidR="00901191" w:rsidRDefault="00901191" w:rsidP="000817F3">
      <w:pPr>
        <w:pStyle w:val="ListParagraph"/>
        <w:numPr>
          <w:ilvl w:val="0"/>
          <w:numId w:val="74"/>
        </w:numPr>
      </w:pPr>
      <w:r>
        <w:t>Reporting, confidentiality, and privacy requirements</w:t>
      </w:r>
    </w:p>
    <w:p w14:paraId="6D1870DE" w14:textId="77777777" w:rsidR="00901191" w:rsidRDefault="00901191" w:rsidP="000817F3">
      <w:pPr>
        <w:pStyle w:val="ListParagraph"/>
        <w:numPr>
          <w:ilvl w:val="0"/>
          <w:numId w:val="74"/>
        </w:numPr>
      </w:pPr>
      <w:r>
        <w:t>Applicable laws, regulations, and federal regulatory guidance</w:t>
      </w:r>
    </w:p>
    <w:p w14:paraId="5DAEF6DF" w14:textId="77777777" w:rsidR="00901191" w:rsidRDefault="00901191" w:rsidP="000817F3">
      <w:pPr>
        <w:pStyle w:val="ListParagraph"/>
        <w:numPr>
          <w:ilvl w:val="0"/>
          <w:numId w:val="74"/>
        </w:numPr>
      </w:pPr>
      <w:r>
        <w:t>How to implement appropriate and situation-specific remedies</w:t>
      </w:r>
    </w:p>
    <w:p w14:paraId="1C41BD87" w14:textId="77777777" w:rsidR="00901191" w:rsidRDefault="00901191" w:rsidP="000817F3">
      <w:pPr>
        <w:pStyle w:val="ListParagraph"/>
        <w:numPr>
          <w:ilvl w:val="0"/>
          <w:numId w:val="74"/>
        </w:numPr>
      </w:pPr>
      <w:r>
        <w:t xml:space="preserve">How to investigate in a thorough, reliable, timely, and impartial manner </w:t>
      </w:r>
    </w:p>
    <w:p w14:paraId="2110A8D4" w14:textId="77777777" w:rsidR="00901191" w:rsidRDefault="00901191" w:rsidP="000817F3">
      <w:pPr>
        <w:pStyle w:val="ListParagraph"/>
        <w:numPr>
          <w:ilvl w:val="0"/>
          <w:numId w:val="74"/>
        </w:numPr>
      </w:pPr>
      <w:r>
        <w:t>Trauma-informed practices pertaining to investigations and resolution processes</w:t>
      </w:r>
    </w:p>
    <w:p w14:paraId="17299D1E" w14:textId="77777777" w:rsidR="00901191" w:rsidRDefault="00901191" w:rsidP="000817F3">
      <w:pPr>
        <w:pStyle w:val="ListParagraph"/>
        <w:numPr>
          <w:ilvl w:val="0"/>
          <w:numId w:val="74"/>
        </w:numPr>
      </w:pPr>
      <w:r>
        <w:t>How to uphold fairness, equity, and due process</w:t>
      </w:r>
    </w:p>
    <w:p w14:paraId="327D420B" w14:textId="77777777" w:rsidR="00901191" w:rsidRDefault="00901191" w:rsidP="000817F3">
      <w:pPr>
        <w:pStyle w:val="ListParagraph"/>
        <w:numPr>
          <w:ilvl w:val="0"/>
          <w:numId w:val="74"/>
        </w:numPr>
      </w:pPr>
      <w:r>
        <w:t xml:space="preserve">How to weigh evidence </w:t>
      </w:r>
    </w:p>
    <w:p w14:paraId="0A5B780A" w14:textId="77777777" w:rsidR="00901191" w:rsidRDefault="00901191" w:rsidP="000817F3">
      <w:pPr>
        <w:pStyle w:val="ListParagraph"/>
        <w:numPr>
          <w:ilvl w:val="0"/>
          <w:numId w:val="74"/>
        </w:numPr>
      </w:pPr>
      <w:r>
        <w:t xml:space="preserve">How to conduct questioning </w:t>
      </w:r>
    </w:p>
    <w:p w14:paraId="7218DB84" w14:textId="77777777" w:rsidR="00901191" w:rsidRDefault="00901191" w:rsidP="000817F3">
      <w:pPr>
        <w:pStyle w:val="ListParagraph"/>
        <w:numPr>
          <w:ilvl w:val="0"/>
          <w:numId w:val="74"/>
        </w:numPr>
      </w:pPr>
      <w:r>
        <w:t>How to assess credibility</w:t>
      </w:r>
    </w:p>
    <w:p w14:paraId="3EAA4686" w14:textId="77777777" w:rsidR="00901191" w:rsidRDefault="00901191" w:rsidP="000817F3">
      <w:pPr>
        <w:pStyle w:val="ListParagraph"/>
        <w:numPr>
          <w:ilvl w:val="0"/>
          <w:numId w:val="74"/>
        </w:numPr>
      </w:pPr>
      <w:r>
        <w:t xml:space="preserve">Impartiality and objectivity </w:t>
      </w:r>
    </w:p>
    <w:p w14:paraId="256047FE" w14:textId="77777777" w:rsidR="00901191" w:rsidRDefault="00901191" w:rsidP="000817F3">
      <w:pPr>
        <w:pStyle w:val="ListParagraph"/>
        <w:numPr>
          <w:ilvl w:val="0"/>
          <w:numId w:val="74"/>
        </w:numPr>
      </w:pPr>
      <w:r>
        <w:t xml:space="preserve">How to render findings and generate clear, concise, evidence-based rationales </w:t>
      </w:r>
    </w:p>
    <w:p w14:paraId="79B68F6C" w14:textId="77777777" w:rsidR="00901191" w:rsidRDefault="00901191" w:rsidP="000817F3">
      <w:pPr>
        <w:pStyle w:val="ListParagraph"/>
        <w:numPr>
          <w:ilvl w:val="0"/>
          <w:numId w:val="74"/>
        </w:numPr>
      </w:pPr>
      <w:r>
        <w:t xml:space="preserve">The definitions of all prohibited conduct </w:t>
      </w:r>
    </w:p>
    <w:p w14:paraId="6BA90C41" w14:textId="77777777" w:rsidR="00901191" w:rsidRDefault="00901191" w:rsidP="000817F3">
      <w:pPr>
        <w:pStyle w:val="ListParagraph"/>
        <w:numPr>
          <w:ilvl w:val="0"/>
          <w:numId w:val="74"/>
        </w:numPr>
      </w:pPr>
      <w:r>
        <w:t xml:space="preserve">How to </w:t>
      </w:r>
      <w:proofErr w:type="gramStart"/>
      <w:r>
        <w:t>conduct an investigation</w:t>
      </w:r>
      <w:proofErr w:type="gramEnd"/>
      <w:r>
        <w:t xml:space="preserve"> and grievance process, including </w:t>
      </w:r>
      <w:r w:rsidRPr="0026247F">
        <w:t>administrative resolutions, hearings, appeals, and Informal Resolution Processes</w:t>
      </w:r>
      <w:r>
        <w:t xml:space="preserve"> </w:t>
      </w:r>
    </w:p>
    <w:p w14:paraId="4F481AB7" w14:textId="77777777" w:rsidR="00901191" w:rsidRPr="00694866" w:rsidRDefault="00901191" w:rsidP="000817F3">
      <w:pPr>
        <w:pStyle w:val="ListParagraph"/>
        <w:numPr>
          <w:ilvl w:val="0"/>
          <w:numId w:val="74"/>
        </w:numPr>
      </w:pPr>
      <w:r w:rsidRPr="00694866">
        <w:t xml:space="preserve">How to serve impartially by avoiding prejudgment of the facts at issue, conflicts of interest, and bias against Respondents and/or for Complainants, and </w:t>
      </w:r>
      <w:proofErr w:type="gramStart"/>
      <w:r w:rsidRPr="00694866">
        <w:t>on the basis of</w:t>
      </w:r>
      <w:proofErr w:type="gramEnd"/>
      <w:r w:rsidRPr="00694866">
        <w:t xml:space="preserve"> sex, race, religion, and other protected characteristics </w:t>
      </w:r>
    </w:p>
    <w:p w14:paraId="1C35B720" w14:textId="77777777" w:rsidR="00901191" w:rsidRPr="00694866" w:rsidRDefault="00901191" w:rsidP="000817F3">
      <w:pPr>
        <w:pStyle w:val="ListParagraph"/>
        <w:numPr>
          <w:ilvl w:val="0"/>
          <w:numId w:val="74"/>
        </w:numPr>
      </w:pPr>
      <w:r w:rsidRPr="00694866">
        <w:t xml:space="preserve">Any technology to be used at </w:t>
      </w:r>
      <w:proofErr w:type="gramStart"/>
      <w:r w:rsidRPr="00694866">
        <w:t>a live</w:t>
      </w:r>
      <w:proofErr w:type="gramEnd"/>
      <w:r w:rsidRPr="00694866">
        <w:t xml:space="preserve"> hearing</w:t>
      </w:r>
    </w:p>
    <w:p w14:paraId="53BEF587" w14:textId="77777777" w:rsidR="00901191" w:rsidRPr="00694866" w:rsidRDefault="00901191" w:rsidP="000817F3">
      <w:pPr>
        <w:pStyle w:val="ListParagraph"/>
        <w:numPr>
          <w:ilvl w:val="0"/>
          <w:numId w:val="74"/>
        </w:numPr>
      </w:pPr>
      <w:r w:rsidRPr="00694866">
        <w:t>Issues of relevance of questions and evidence</w:t>
      </w:r>
    </w:p>
    <w:p w14:paraId="5FDE3101" w14:textId="77777777" w:rsidR="00901191" w:rsidRPr="00694866" w:rsidRDefault="00901191" w:rsidP="000817F3">
      <w:pPr>
        <w:pStyle w:val="ListParagraph"/>
        <w:numPr>
          <w:ilvl w:val="0"/>
          <w:numId w:val="74"/>
        </w:numPr>
      </w:pPr>
      <w:r w:rsidRPr="00694866">
        <w:t xml:space="preserve">Issues of relevance </w:t>
      </w:r>
      <w:r>
        <w:t>and</w:t>
      </w:r>
      <w:r w:rsidRPr="00694866">
        <w:t xml:space="preserve"> </w:t>
      </w:r>
      <w:r>
        <w:t xml:space="preserve">creating </w:t>
      </w:r>
      <w:r w:rsidRPr="00694866">
        <w:t>an investigation report that fairly summarizes relevant and not impermissible evidence</w:t>
      </w:r>
    </w:p>
    <w:p w14:paraId="6A0AE1F5" w14:textId="77777777" w:rsidR="00901191" w:rsidRDefault="00901191" w:rsidP="000817F3">
      <w:pPr>
        <w:pStyle w:val="ListParagraph"/>
        <w:numPr>
          <w:ilvl w:val="0"/>
          <w:numId w:val="74"/>
        </w:numPr>
      </w:pPr>
      <w:r>
        <w:t>How to determine appropriate sanctions in reference to all forms of harassment, discrimination, and/or retaliation allegations</w:t>
      </w:r>
    </w:p>
    <w:p w14:paraId="3E8B51BD" w14:textId="77777777" w:rsidR="00901191" w:rsidRDefault="00901191" w:rsidP="000817F3">
      <w:pPr>
        <w:pStyle w:val="ListParagraph"/>
        <w:numPr>
          <w:ilvl w:val="0"/>
          <w:numId w:val="74"/>
        </w:numPr>
      </w:pPr>
      <w:r>
        <w:t>Recordkeeping</w:t>
      </w:r>
    </w:p>
    <w:p w14:paraId="01CBA26B" w14:textId="77777777" w:rsidR="00901191" w:rsidRDefault="00901191" w:rsidP="00901191"/>
    <w:p w14:paraId="7C22A5C7" w14:textId="77777777" w:rsidR="00901191" w:rsidRPr="005244F9" w:rsidRDefault="00901191" w:rsidP="00901191">
      <w:pPr>
        <w:rPr>
          <w:b/>
          <w:bCs/>
        </w:rPr>
      </w:pPr>
      <w:r w:rsidRPr="005244F9">
        <w:rPr>
          <w:b/>
          <w:bCs/>
        </w:rPr>
        <w:t xml:space="preserve">Additional Training Elements Specific to Title IX </w:t>
      </w:r>
    </w:p>
    <w:p w14:paraId="583ECB5D" w14:textId="77777777" w:rsidR="00901191" w:rsidRDefault="00901191" w:rsidP="00901191"/>
    <w:p w14:paraId="7C0C9A4E" w14:textId="77777777" w:rsidR="00901191" w:rsidRPr="00C21089" w:rsidRDefault="00901191" w:rsidP="00901191">
      <w:pPr>
        <w:pStyle w:val="ListParagraph"/>
        <w:ind w:left="0"/>
      </w:pPr>
      <w:r>
        <w:t xml:space="preserve">All investigators, Decision-makers, and other persons who are responsible for implementing </w:t>
      </w:r>
      <w:r w:rsidRPr="0026035B">
        <w:rPr>
          <w:highlight w:val="lightGray"/>
        </w:rPr>
        <w:t>Recipient</w:t>
      </w:r>
      <w:r w:rsidRPr="00D77A5F">
        <w:t>’s</w:t>
      </w:r>
      <w:r>
        <w:t xml:space="preserve"> Title IX policies and procedures will receive training </w:t>
      </w:r>
      <w:r>
        <w:rPr>
          <w:sz w:val="23"/>
          <w:szCs w:val="23"/>
        </w:rPr>
        <w:t xml:space="preserve">related </w:t>
      </w:r>
      <w:r w:rsidRPr="005244F9">
        <w:t xml:space="preserve">to their duties under Title IX promptly upon hiring or change of position that alters their duties under Title IX or this </w:t>
      </w:r>
      <w:r w:rsidRPr="005244F9">
        <w:lastRenderedPageBreak/>
        <w:t xml:space="preserve">part, and annually thereafter. </w:t>
      </w:r>
      <w:r w:rsidRPr="003C10B9">
        <w:t>Materials will not rely on sex stereotypes.</w:t>
      </w:r>
      <w:r>
        <w:t xml:space="preserve"> T</w:t>
      </w:r>
      <w:r w:rsidRPr="00C21089">
        <w:t xml:space="preserve">raining </w:t>
      </w:r>
      <w:r>
        <w:t xml:space="preserve">topics </w:t>
      </w:r>
      <w:r w:rsidRPr="00C21089">
        <w:t xml:space="preserve">include, but </w:t>
      </w:r>
      <w:r>
        <w:t>are</w:t>
      </w:r>
      <w:r w:rsidRPr="00C21089">
        <w:t xml:space="preserve"> not limited to: </w:t>
      </w:r>
    </w:p>
    <w:p w14:paraId="0A889548" w14:textId="77777777" w:rsidR="00901191" w:rsidRPr="0026035B" w:rsidRDefault="00901191" w:rsidP="00901191"/>
    <w:p w14:paraId="34D390D9" w14:textId="77777777" w:rsidR="00901191" w:rsidRDefault="00901191" w:rsidP="000817F3">
      <w:pPr>
        <w:pStyle w:val="ListParagraph"/>
        <w:numPr>
          <w:ilvl w:val="0"/>
          <w:numId w:val="74"/>
        </w:numPr>
      </w:pPr>
      <w:r>
        <w:t xml:space="preserve">How to conduct a sex discrimination resolution process consistent with the </w:t>
      </w:r>
      <w:r w:rsidRPr="005244F9">
        <w:rPr>
          <w:highlight w:val="lightGray"/>
        </w:rPr>
        <w:t>Nondiscrimination Procedures</w:t>
      </w:r>
      <w:r>
        <w:t>, including issues of disparate treatment, disparate impact, sex-based harassment, quid pro quo, hostile environment harassment, and retaliation</w:t>
      </w:r>
    </w:p>
    <w:p w14:paraId="33689652" w14:textId="77777777" w:rsidR="00901191" w:rsidRDefault="00901191" w:rsidP="000817F3">
      <w:pPr>
        <w:pStyle w:val="ListParagraph"/>
        <w:numPr>
          <w:ilvl w:val="0"/>
          <w:numId w:val="74"/>
        </w:numPr>
      </w:pPr>
      <w:r>
        <w:t>The meaning and application of the term “relevant” in relation to questions and evidence, and the types of evidence that are impermissible regardless of relevance under the Title IX Regulations</w:t>
      </w:r>
    </w:p>
    <w:p w14:paraId="4E5B9830" w14:textId="77777777" w:rsidR="00901191" w:rsidRDefault="00901191" w:rsidP="000817F3">
      <w:pPr>
        <w:pStyle w:val="ListParagraph"/>
        <w:numPr>
          <w:ilvl w:val="0"/>
          <w:numId w:val="74"/>
        </w:numPr>
      </w:pPr>
      <w:r>
        <w:t>Training</w:t>
      </w:r>
      <w:r w:rsidRPr="004461CA">
        <w:t xml:space="preserve"> </w:t>
      </w:r>
      <w:r>
        <w:t xml:space="preserve">for Informal Resolution facilitators on the rules and practices associated with </w:t>
      </w:r>
      <w:r w:rsidRPr="0026035B">
        <w:rPr>
          <w:highlight w:val="lightGray"/>
        </w:rPr>
        <w:t>Recipient</w:t>
      </w:r>
      <w:r>
        <w:t xml:space="preserve">’s Informal Resolution process </w:t>
      </w:r>
    </w:p>
    <w:p w14:paraId="2AEA3F75" w14:textId="77777777" w:rsidR="00901191" w:rsidRDefault="00901191" w:rsidP="000817F3">
      <w:pPr>
        <w:pStyle w:val="ListParagraph"/>
        <w:numPr>
          <w:ilvl w:val="0"/>
          <w:numId w:val="74"/>
        </w:numPr>
      </w:pPr>
      <w:r>
        <w:t>The role of the Title IX Coordinator</w:t>
      </w:r>
    </w:p>
    <w:p w14:paraId="7791330F" w14:textId="77777777" w:rsidR="00901191" w:rsidRDefault="00901191" w:rsidP="000817F3">
      <w:pPr>
        <w:pStyle w:val="ListParagraph"/>
        <w:numPr>
          <w:ilvl w:val="0"/>
          <w:numId w:val="74"/>
        </w:numPr>
      </w:pPr>
      <w:r>
        <w:t>Supportive Measures</w:t>
      </w:r>
    </w:p>
    <w:p w14:paraId="1860B233" w14:textId="77777777" w:rsidR="00901191" w:rsidRDefault="00901191" w:rsidP="000817F3">
      <w:pPr>
        <w:pStyle w:val="ListParagraph"/>
        <w:numPr>
          <w:ilvl w:val="0"/>
          <w:numId w:val="74"/>
        </w:numPr>
      </w:pPr>
      <w:r>
        <w:t>Clery Act/VAWA requirements applicable to Title IX</w:t>
      </w:r>
    </w:p>
    <w:p w14:paraId="50A109CC" w14:textId="77777777" w:rsidR="00901191" w:rsidRDefault="00901191" w:rsidP="000817F3">
      <w:pPr>
        <w:pStyle w:val="ListParagraph"/>
        <w:numPr>
          <w:ilvl w:val="0"/>
          <w:numId w:val="74"/>
        </w:numPr>
      </w:pPr>
      <w:r w:rsidRPr="005C2B55">
        <w:rPr>
          <w:highlight w:val="lightGray"/>
        </w:rPr>
        <w:t>Recipient</w:t>
      </w:r>
      <w:r>
        <w:t xml:space="preserve">’s obligations under Title IX </w:t>
      </w:r>
    </w:p>
    <w:p w14:paraId="4D01A496" w14:textId="77777777" w:rsidR="00901191" w:rsidRDefault="00901191" w:rsidP="000817F3">
      <w:pPr>
        <w:pStyle w:val="ListParagraph"/>
        <w:numPr>
          <w:ilvl w:val="0"/>
          <w:numId w:val="74"/>
        </w:numPr>
      </w:pPr>
      <w:r>
        <w:t xml:space="preserve">How to apply definitions used by the </w:t>
      </w:r>
      <w:r w:rsidRPr="00046D7B">
        <w:rPr>
          <w:highlight w:val="lightGray"/>
        </w:rPr>
        <w:t>Recipient</w:t>
      </w:r>
      <w:r>
        <w:t xml:space="preserve"> with respect to consent (or the absence or negation of consent) consistently, impartially, and in accordance with Policy </w:t>
      </w:r>
    </w:p>
    <w:p w14:paraId="5313E14A" w14:textId="77777777" w:rsidR="00901191" w:rsidRDefault="00901191" w:rsidP="000817F3">
      <w:pPr>
        <w:pStyle w:val="ListParagraph"/>
        <w:numPr>
          <w:ilvl w:val="0"/>
          <w:numId w:val="74"/>
        </w:numPr>
      </w:pPr>
      <w:r>
        <w:t xml:space="preserve">Reasonable modifications and specific actions to prevent discrimination and ensure equal access for pregnancy or related conditions </w:t>
      </w:r>
    </w:p>
    <w:p w14:paraId="3CB6A2B5" w14:textId="60E3220F" w:rsidR="005A75CD" w:rsidRDefault="00901191" w:rsidP="000817F3">
      <w:pPr>
        <w:pStyle w:val="ListParagraph"/>
        <w:numPr>
          <w:ilvl w:val="0"/>
          <w:numId w:val="74"/>
        </w:numPr>
      </w:pPr>
      <w:r>
        <w:t>Any other training deemed necessary to comply with Title IX</w:t>
      </w:r>
    </w:p>
    <w:p w14:paraId="049E8A72" w14:textId="77777777" w:rsidR="005A75CD" w:rsidRDefault="005A75CD">
      <w:pPr>
        <w:spacing w:after="160" w:line="259" w:lineRule="auto"/>
      </w:pPr>
      <w:r>
        <w:br w:type="page"/>
      </w:r>
    </w:p>
    <w:p w14:paraId="5131E798" w14:textId="77777777" w:rsidR="005A75CD" w:rsidRPr="00F910E2" w:rsidRDefault="005A75CD" w:rsidP="005A75CD">
      <w:pPr>
        <w:pStyle w:val="Heading1"/>
        <w:numPr>
          <w:ilvl w:val="0"/>
          <w:numId w:val="0"/>
        </w:numPr>
        <w:ind w:left="270"/>
        <w:jc w:val="center"/>
      </w:pPr>
      <w:bookmarkStart w:id="202" w:name="_Toc168477603"/>
      <w:r w:rsidRPr="00F910E2">
        <w:lastRenderedPageBreak/>
        <w:t xml:space="preserve">ATIXA’s One Policy, One Procedure </w:t>
      </w:r>
      <w:r>
        <w:t xml:space="preserve">(1P1P) </w:t>
      </w:r>
      <w:r w:rsidRPr="00F910E2">
        <w:t>Model</w:t>
      </w:r>
      <w:r w:rsidRPr="00F910E2">
        <w:br/>
        <w:t>Customization and Implementation Guide</w:t>
      </w:r>
      <w:bookmarkEnd w:id="202"/>
    </w:p>
    <w:p w14:paraId="028E8432" w14:textId="77777777" w:rsidR="005A75CD" w:rsidRPr="00421F45" w:rsidRDefault="005A75CD" w:rsidP="005A75CD">
      <w:pPr>
        <w:jc w:val="center"/>
        <w:rPr>
          <w:rFonts w:cs="Calibri"/>
          <w:b/>
          <w:bCs/>
        </w:rPr>
      </w:pPr>
    </w:p>
    <w:p w14:paraId="30721AB4" w14:textId="77777777" w:rsidR="005A75CD" w:rsidRPr="00421F45" w:rsidRDefault="005A75CD" w:rsidP="005A75CD">
      <w:pPr>
        <w:rPr>
          <w:rFonts w:cs="Calibri"/>
        </w:rPr>
      </w:pPr>
      <w:r w:rsidRPr="00421F45">
        <w:rPr>
          <w:rFonts w:cs="Calibri"/>
        </w:rPr>
        <w:t xml:space="preserve">Institutions will need to make </w:t>
      </w:r>
      <w:proofErr w:type="gramStart"/>
      <w:r w:rsidRPr="00421F45">
        <w:rPr>
          <w:rFonts w:cs="Calibri"/>
        </w:rPr>
        <w:t>a number of</w:t>
      </w:r>
      <w:proofErr w:type="gramEnd"/>
      <w:r w:rsidRPr="00421F45">
        <w:rPr>
          <w:rFonts w:cs="Calibri"/>
        </w:rPr>
        <w:t xml:space="preserve"> policy and procedu</w:t>
      </w:r>
      <w:r>
        <w:rPr>
          <w:rFonts w:cs="Calibri"/>
        </w:rPr>
        <w:t>re</w:t>
      </w:r>
      <w:r w:rsidRPr="00421F45">
        <w:rPr>
          <w:rFonts w:cs="Calibri"/>
        </w:rPr>
        <w:t xml:space="preserve"> decisions prior to drafting their customized version of ATIXA</w:t>
      </w:r>
      <w:r>
        <w:rPr>
          <w:rFonts w:cs="Calibri"/>
        </w:rPr>
        <w:t xml:space="preserve">’s </w:t>
      </w:r>
      <w:r w:rsidRPr="00421F45">
        <w:rPr>
          <w:rFonts w:cs="Calibri"/>
        </w:rPr>
        <w:t xml:space="preserve">One Policy, One Procedure (1P1P) Model. </w:t>
      </w:r>
      <w:r>
        <w:rPr>
          <w:rFonts w:cs="Calibri"/>
        </w:rPr>
        <w:t xml:space="preserve">Below is a brief guide to customizing 1P1P accordingly. </w:t>
      </w:r>
    </w:p>
    <w:p w14:paraId="24772923" w14:textId="77777777" w:rsidR="005A75CD" w:rsidRPr="00421F45" w:rsidRDefault="005A75CD" w:rsidP="005A75CD">
      <w:pPr>
        <w:rPr>
          <w:rFonts w:cs="Calibri"/>
        </w:rPr>
      </w:pPr>
      <w:r>
        <w:rPr>
          <w:rFonts w:cs="Calibri"/>
        </w:rPr>
        <w:t>P</w:t>
      </w:r>
      <w:r w:rsidRPr="00421F45">
        <w:rPr>
          <w:rFonts w:cs="Calibri"/>
        </w:rPr>
        <w:t xml:space="preserve">ractitioners need to understand </w:t>
      </w:r>
      <w:r>
        <w:rPr>
          <w:rFonts w:cs="Calibri"/>
        </w:rPr>
        <w:t xml:space="preserve">each </w:t>
      </w:r>
      <w:r w:rsidRPr="00421F45">
        <w:rPr>
          <w:rFonts w:cs="Calibri"/>
        </w:rPr>
        <w:t>formatting cue</w:t>
      </w:r>
      <w:r>
        <w:rPr>
          <w:rFonts w:cs="Calibri"/>
        </w:rPr>
        <w:t xml:space="preserve"> </w:t>
      </w:r>
      <w:r w:rsidRPr="00421F45">
        <w:rPr>
          <w:rFonts w:cs="Calibri"/>
        </w:rPr>
        <w:t>provided throughout the 1P1P Model Policy Template.</w:t>
      </w:r>
    </w:p>
    <w:p w14:paraId="0A71E19C" w14:textId="77777777" w:rsidR="005A75CD" w:rsidRPr="00421F45" w:rsidRDefault="005A75CD" w:rsidP="005A75CD">
      <w:pPr>
        <w:rPr>
          <w:rFonts w:cs="Calibri"/>
        </w:rPr>
      </w:pPr>
      <w:r w:rsidRPr="00421F45">
        <w:rPr>
          <w:rFonts w:cs="Calibri"/>
          <w:b/>
          <w:bCs/>
        </w:rPr>
        <w:t xml:space="preserve">[Brackets] </w:t>
      </w:r>
      <w:r w:rsidRPr="00421F45">
        <w:rPr>
          <w:rFonts w:cs="Calibri"/>
        </w:rPr>
        <w:t>– All text offered in [brackets] throughout th</w:t>
      </w:r>
      <w:r>
        <w:rPr>
          <w:rFonts w:cs="Calibri"/>
        </w:rPr>
        <w:t>e Model Policy</w:t>
      </w:r>
      <w:r w:rsidRPr="00421F45">
        <w:rPr>
          <w:rFonts w:cs="Calibri"/>
        </w:rPr>
        <w:t xml:space="preserve"> is </w:t>
      </w:r>
      <w:r w:rsidRPr="00A3034E">
        <w:rPr>
          <w:rFonts w:cs="Calibri"/>
          <w:b/>
        </w:rPr>
        <w:t>optional</w:t>
      </w:r>
      <w:r w:rsidRPr="00421F45">
        <w:rPr>
          <w:rFonts w:cs="Calibri"/>
          <w:b/>
          <w:bCs/>
        </w:rPr>
        <w:t xml:space="preserve"> </w:t>
      </w:r>
      <w:r w:rsidRPr="00421F45">
        <w:rPr>
          <w:rFonts w:cs="Calibri"/>
        </w:rPr>
        <w:t>language. The institution must determine whether to keep</w:t>
      </w:r>
      <w:r>
        <w:rPr>
          <w:rFonts w:cs="Calibri"/>
        </w:rPr>
        <w:t xml:space="preserve">, </w:t>
      </w:r>
      <w:r w:rsidRPr="00421F45">
        <w:rPr>
          <w:rFonts w:cs="Calibri"/>
        </w:rPr>
        <w:t>cut</w:t>
      </w:r>
      <w:r>
        <w:rPr>
          <w:rFonts w:cs="Calibri"/>
        </w:rPr>
        <w:t>, or modify</w:t>
      </w:r>
      <w:r w:rsidRPr="00421F45">
        <w:rPr>
          <w:rFonts w:cs="Calibri"/>
        </w:rPr>
        <w:t xml:space="preserve"> this language.</w:t>
      </w:r>
    </w:p>
    <w:p w14:paraId="4DE8D27F" w14:textId="77777777" w:rsidR="005A75CD" w:rsidRPr="00421F45" w:rsidRDefault="005A75CD" w:rsidP="005A75CD">
      <w:pPr>
        <w:rPr>
          <w:rFonts w:cs="Calibri"/>
        </w:rPr>
      </w:pPr>
      <w:r w:rsidRPr="00814462">
        <w:rPr>
          <w:rFonts w:cs="Calibri"/>
          <w:b/>
          <w:highlight w:val="lightGray"/>
        </w:rPr>
        <w:t>&lt;&lt;Insertion Arrows&gt;&gt;</w:t>
      </w:r>
      <w:r w:rsidRPr="00421F45">
        <w:rPr>
          <w:rFonts w:cs="Calibri"/>
          <w:b/>
          <w:bCs/>
        </w:rPr>
        <w:t xml:space="preserve"> </w:t>
      </w:r>
      <w:r w:rsidRPr="00421F45">
        <w:rPr>
          <w:rFonts w:cs="Calibri"/>
        </w:rPr>
        <w:t>– Insertion arrows indicate that the policy writer(s) must insert their own information</w:t>
      </w:r>
      <w:r>
        <w:rPr>
          <w:rFonts w:cs="Calibri"/>
        </w:rPr>
        <w:t>, such as links or team member names,</w:t>
      </w:r>
      <w:r w:rsidRPr="00421F45">
        <w:rPr>
          <w:rFonts w:cs="Calibri"/>
        </w:rPr>
        <w:t xml:space="preserve"> in place of the arrows and text within.</w:t>
      </w:r>
    </w:p>
    <w:p w14:paraId="77E02E25" w14:textId="77777777" w:rsidR="005A75CD" w:rsidRPr="00A3034E" w:rsidRDefault="005A75CD" w:rsidP="005A75CD">
      <w:pPr>
        <w:pStyle w:val="ListParagraph"/>
        <w:numPr>
          <w:ilvl w:val="0"/>
          <w:numId w:val="79"/>
        </w:numPr>
        <w:spacing w:line="259" w:lineRule="auto"/>
        <w:rPr>
          <w:rFonts w:cs="Calibri"/>
        </w:rPr>
      </w:pPr>
      <w:r w:rsidRPr="00A3034E">
        <w:rPr>
          <w:rFonts w:cs="Calibri"/>
          <w:i/>
        </w:rPr>
        <w:t xml:space="preserve">Example: </w:t>
      </w:r>
      <w:r w:rsidRPr="00A3034E">
        <w:rPr>
          <w:rFonts w:cs="Calibri"/>
        </w:rPr>
        <w:t xml:space="preserve">Template Text: Submit an online report at </w:t>
      </w:r>
      <w:r w:rsidRPr="00A3034E">
        <w:rPr>
          <w:rFonts w:cs="Calibri"/>
          <w:highlight w:val="lightGray"/>
        </w:rPr>
        <w:t>&lt;&lt;</w:t>
      </w:r>
      <w:r>
        <w:rPr>
          <w:rFonts w:cs="Calibri"/>
          <w:highlight w:val="lightGray"/>
        </w:rPr>
        <w:t>link</w:t>
      </w:r>
      <w:r w:rsidRPr="00A3034E">
        <w:rPr>
          <w:rFonts w:cs="Calibri"/>
          <w:highlight w:val="lightGray"/>
        </w:rPr>
        <w:t>&gt;&gt;.</w:t>
      </w:r>
    </w:p>
    <w:p w14:paraId="6E5743BD" w14:textId="77777777" w:rsidR="005A75CD" w:rsidRPr="00A3034E" w:rsidRDefault="005A75CD" w:rsidP="005A75CD">
      <w:pPr>
        <w:pStyle w:val="ListParagraph"/>
        <w:numPr>
          <w:ilvl w:val="0"/>
          <w:numId w:val="79"/>
        </w:numPr>
        <w:spacing w:line="259" w:lineRule="auto"/>
        <w:rPr>
          <w:rFonts w:cs="Calibri"/>
        </w:rPr>
      </w:pPr>
      <w:r w:rsidRPr="00994635">
        <w:rPr>
          <w:rFonts w:cs="Calibri"/>
          <w:i/>
          <w:iCs/>
        </w:rPr>
        <w:t>Example:</w:t>
      </w:r>
      <w:r>
        <w:rPr>
          <w:rFonts w:cs="Calibri"/>
          <w:i/>
          <w:iCs/>
        </w:rPr>
        <w:t xml:space="preserve"> </w:t>
      </w:r>
      <w:r w:rsidRPr="00A3034E">
        <w:rPr>
          <w:rFonts w:cs="Calibri"/>
        </w:rPr>
        <w:t>Customized Text: Submit an online report at https://www.report.atixa.edu.</w:t>
      </w:r>
    </w:p>
    <w:p w14:paraId="24CEA512" w14:textId="77777777" w:rsidR="005A75CD" w:rsidRPr="00421F45" w:rsidRDefault="005A75CD" w:rsidP="005A75CD">
      <w:pPr>
        <w:rPr>
          <w:rFonts w:cs="Calibri"/>
        </w:rPr>
      </w:pPr>
    </w:p>
    <w:p w14:paraId="269F5D50" w14:textId="77777777" w:rsidR="005A75CD" w:rsidRPr="00421F45" w:rsidRDefault="005A75CD" w:rsidP="005A75CD">
      <w:pPr>
        <w:rPr>
          <w:rFonts w:cs="Calibri"/>
        </w:rPr>
      </w:pPr>
      <w:r w:rsidRPr="00421F45">
        <w:rPr>
          <w:rFonts w:cs="Calibri"/>
          <w:b/>
          <w:bCs/>
          <w:highlight w:val="lightGray"/>
        </w:rPr>
        <w:t>Gray Highlight</w:t>
      </w:r>
      <w:r w:rsidRPr="00421F45">
        <w:rPr>
          <w:rFonts w:cs="Calibri"/>
        </w:rPr>
        <w:t xml:space="preserve"> – All gray highlighted text must be customized by the institution or deleted if not needed. Please pay particular attention to highlighted text that includes “</w:t>
      </w:r>
      <w:r w:rsidRPr="00A3034E">
        <w:rPr>
          <w:rFonts w:cs="Calibri"/>
          <w:b/>
        </w:rPr>
        <w:t>OR</w:t>
      </w:r>
      <w:r w:rsidRPr="00421F45">
        <w:rPr>
          <w:rFonts w:cs="Calibri"/>
        </w:rPr>
        <w:t xml:space="preserve">,” which requires the institution to select </w:t>
      </w:r>
      <w:r w:rsidRPr="00421F45">
        <w:rPr>
          <w:rFonts w:cs="Calibri"/>
          <w:b/>
          <w:bCs/>
        </w:rPr>
        <w:t xml:space="preserve">one </w:t>
      </w:r>
      <w:r w:rsidRPr="00421F45">
        <w:rPr>
          <w:rFonts w:cs="Calibri"/>
        </w:rPr>
        <w:t>of the presented options.</w:t>
      </w:r>
    </w:p>
    <w:p w14:paraId="4ACB7B43" w14:textId="77777777" w:rsidR="005A75CD" w:rsidRPr="00421F45" w:rsidRDefault="005A75CD" w:rsidP="005A75CD">
      <w:pPr>
        <w:rPr>
          <w:rFonts w:cs="Calibri"/>
        </w:rPr>
      </w:pPr>
      <w:r w:rsidRPr="00421F45">
        <w:rPr>
          <w:rFonts w:cs="Calibri"/>
          <w:b/>
          <w:bCs/>
          <w:highlight w:val="lightGray"/>
        </w:rPr>
        <w:t>Recipient</w:t>
      </w:r>
      <w:r w:rsidRPr="00421F45">
        <w:rPr>
          <w:rFonts w:cs="Calibri"/>
        </w:rPr>
        <w:t xml:space="preserve"> – The word “Recipient” is a placeholder for your institution’s full name</w:t>
      </w:r>
      <w:r>
        <w:rPr>
          <w:rFonts w:cs="Calibri"/>
        </w:rPr>
        <w:t>, abbreviated name (“PSU”),</w:t>
      </w:r>
      <w:r w:rsidRPr="00421F45">
        <w:rPr>
          <w:rFonts w:cs="Calibri"/>
        </w:rPr>
        <w:t xml:space="preserve"> or University/College/Institute/etc.</w:t>
      </w:r>
      <w:r>
        <w:rPr>
          <w:rFonts w:cs="Calibri"/>
        </w:rPr>
        <w:t>,</w:t>
      </w:r>
      <w:r w:rsidRPr="00421F45">
        <w:rPr>
          <w:rFonts w:cs="Calibri"/>
        </w:rPr>
        <w:t xml:space="preserve"> depending upon the text.</w:t>
      </w:r>
    </w:p>
    <w:p w14:paraId="7B4491D4" w14:textId="77777777" w:rsidR="005A75CD" w:rsidRPr="00A3034E" w:rsidRDefault="005A75CD" w:rsidP="005A75CD">
      <w:pPr>
        <w:pStyle w:val="ListParagraph"/>
        <w:numPr>
          <w:ilvl w:val="0"/>
          <w:numId w:val="80"/>
        </w:numPr>
        <w:spacing w:line="259" w:lineRule="auto"/>
        <w:rPr>
          <w:rFonts w:cs="Calibri"/>
        </w:rPr>
      </w:pPr>
      <w:r w:rsidRPr="00A3034E">
        <w:rPr>
          <w:rFonts w:cs="Calibri"/>
          <w:i/>
        </w:rPr>
        <w:t xml:space="preserve">Example: </w:t>
      </w:r>
      <w:r w:rsidRPr="00A3034E">
        <w:rPr>
          <w:rFonts w:cs="Calibri"/>
        </w:rPr>
        <w:t xml:space="preserve">Template Text: </w:t>
      </w:r>
      <w:r w:rsidRPr="00A3034E">
        <w:rPr>
          <w:rFonts w:cs="Calibri"/>
          <w:highlight w:val="lightGray"/>
        </w:rPr>
        <w:t>Recipient</w:t>
      </w:r>
      <w:r w:rsidRPr="00A3034E">
        <w:rPr>
          <w:rFonts w:cs="Calibri"/>
        </w:rPr>
        <w:t xml:space="preserve"> values and upholds the equal dignity of all members of its community and strives to balance the rights of the </w:t>
      </w:r>
      <w:r>
        <w:rPr>
          <w:rFonts w:cs="Calibri"/>
        </w:rPr>
        <w:t>P</w:t>
      </w:r>
      <w:r w:rsidRPr="00A3034E">
        <w:rPr>
          <w:rFonts w:cs="Calibri"/>
        </w:rPr>
        <w:t xml:space="preserve">arties in the </w:t>
      </w:r>
      <w:r>
        <w:rPr>
          <w:rFonts w:cs="Calibri"/>
        </w:rPr>
        <w:t>Resolution</w:t>
      </w:r>
      <w:r w:rsidRPr="00A3034E">
        <w:rPr>
          <w:rFonts w:cs="Calibri"/>
        </w:rPr>
        <w:t xml:space="preserve"> </w:t>
      </w:r>
      <w:r>
        <w:rPr>
          <w:rFonts w:cs="Calibri"/>
        </w:rPr>
        <w:t>P</w:t>
      </w:r>
      <w:r w:rsidRPr="00A3034E">
        <w:rPr>
          <w:rFonts w:cs="Calibri"/>
        </w:rPr>
        <w:t xml:space="preserve">rocess during what is often a difficult time for all involved. </w:t>
      </w:r>
    </w:p>
    <w:p w14:paraId="109B5FB7" w14:textId="77777777" w:rsidR="005A75CD" w:rsidRPr="00A3034E" w:rsidRDefault="005A75CD" w:rsidP="005A75CD">
      <w:pPr>
        <w:pStyle w:val="ListParagraph"/>
        <w:numPr>
          <w:ilvl w:val="0"/>
          <w:numId w:val="80"/>
        </w:numPr>
        <w:spacing w:after="160" w:line="259" w:lineRule="auto"/>
        <w:rPr>
          <w:rFonts w:cs="Calibri"/>
        </w:rPr>
      </w:pPr>
      <w:r w:rsidRPr="00994635">
        <w:rPr>
          <w:rFonts w:cs="Calibri"/>
          <w:i/>
          <w:iCs/>
        </w:rPr>
        <w:t xml:space="preserve">Example: </w:t>
      </w:r>
      <w:r w:rsidRPr="00A3034E">
        <w:rPr>
          <w:rFonts w:cs="Calibri"/>
        </w:rPr>
        <w:t xml:space="preserve">Customized Text Option 1: ATIXA University values and upholds the equal dignity of all members of its community and strives to balance the rights of the </w:t>
      </w:r>
      <w:r>
        <w:rPr>
          <w:rFonts w:cs="Calibri"/>
        </w:rPr>
        <w:t>P</w:t>
      </w:r>
      <w:r w:rsidRPr="00A3034E">
        <w:rPr>
          <w:rFonts w:cs="Calibri"/>
        </w:rPr>
        <w:t xml:space="preserve">arties in the </w:t>
      </w:r>
      <w:r>
        <w:rPr>
          <w:rFonts w:cs="Calibri"/>
        </w:rPr>
        <w:t>solution</w:t>
      </w:r>
      <w:r w:rsidRPr="00994635">
        <w:rPr>
          <w:rFonts w:cs="Calibri"/>
        </w:rPr>
        <w:t xml:space="preserve"> </w:t>
      </w:r>
      <w:r>
        <w:rPr>
          <w:rFonts w:cs="Calibri"/>
        </w:rPr>
        <w:t>P</w:t>
      </w:r>
      <w:r w:rsidRPr="00A3034E">
        <w:rPr>
          <w:rFonts w:cs="Calibri"/>
        </w:rPr>
        <w:t xml:space="preserve">rocess during what is often a difficult time for all involved. </w:t>
      </w:r>
    </w:p>
    <w:p w14:paraId="33B39FF6" w14:textId="77777777" w:rsidR="005A75CD" w:rsidRPr="00A3034E" w:rsidRDefault="005A75CD" w:rsidP="005A75CD">
      <w:pPr>
        <w:pStyle w:val="ListParagraph"/>
        <w:numPr>
          <w:ilvl w:val="0"/>
          <w:numId w:val="80"/>
        </w:numPr>
        <w:spacing w:after="160" w:line="259" w:lineRule="auto"/>
        <w:rPr>
          <w:rFonts w:cs="Calibri"/>
        </w:rPr>
      </w:pPr>
      <w:r w:rsidRPr="00994635">
        <w:rPr>
          <w:rFonts w:cs="Calibri"/>
          <w:i/>
          <w:iCs/>
        </w:rPr>
        <w:t xml:space="preserve">Example: </w:t>
      </w:r>
      <w:r w:rsidRPr="00A3034E">
        <w:rPr>
          <w:rFonts w:cs="Calibri"/>
        </w:rPr>
        <w:t xml:space="preserve">Customized Text Option 2: The University values and upholds the equal dignity of all members of its community and strives to balance the rights of the </w:t>
      </w:r>
      <w:r>
        <w:rPr>
          <w:rFonts w:cs="Calibri"/>
        </w:rPr>
        <w:t>P</w:t>
      </w:r>
      <w:r w:rsidRPr="00A3034E">
        <w:rPr>
          <w:rFonts w:cs="Calibri"/>
        </w:rPr>
        <w:t xml:space="preserve">arties in the </w:t>
      </w:r>
      <w:r>
        <w:rPr>
          <w:rFonts w:cs="Calibri"/>
        </w:rPr>
        <w:t>solution</w:t>
      </w:r>
      <w:r w:rsidRPr="00994635">
        <w:rPr>
          <w:rFonts w:cs="Calibri"/>
        </w:rPr>
        <w:t xml:space="preserve"> </w:t>
      </w:r>
      <w:r>
        <w:rPr>
          <w:rFonts w:cs="Calibri"/>
        </w:rPr>
        <w:t>P</w:t>
      </w:r>
      <w:r w:rsidRPr="00A3034E">
        <w:rPr>
          <w:rFonts w:cs="Calibri"/>
        </w:rPr>
        <w:t xml:space="preserve">rocess during what is often a difficult time for all involved. </w:t>
      </w:r>
    </w:p>
    <w:p w14:paraId="0D0C67DA" w14:textId="77777777" w:rsidR="005A75CD" w:rsidRPr="00421F45" w:rsidRDefault="005A75CD" w:rsidP="005A75CD">
      <w:pPr>
        <w:rPr>
          <w:rFonts w:cs="Calibri"/>
        </w:rPr>
      </w:pPr>
      <w:r w:rsidRPr="00421F45">
        <w:rPr>
          <w:rFonts w:cs="Calibri"/>
          <w:b/>
          <w:bCs/>
          <w:highlight w:val="lightGray"/>
        </w:rPr>
        <w:t>Administrator</w:t>
      </w:r>
      <w:r w:rsidRPr="00421F45">
        <w:rPr>
          <w:rFonts w:cs="Calibri"/>
          <w:b/>
          <w:bCs/>
        </w:rPr>
        <w:t xml:space="preserve"> </w:t>
      </w:r>
      <w:r w:rsidRPr="00421F45">
        <w:rPr>
          <w:rFonts w:cs="Calibri"/>
        </w:rPr>
        <w:t>– The word “Administrator” is a placeholder for the appropriate</w:t>
      </w:r>
      <w:r w:rsidRPr="00421F45">
        <w:rPr>
          <w:rFonts w:cs="Calibri"/>
          <w:b/>
          <w:bCs/>
        </w:rPr>
        <w:t xml:space="preserve"> </w:t>
      </w:r>
      <w:r w:rsidRPr="00421F45">
        <w:rPr>
          <w:rFonts w:cs="Calibri"/>
        </w:rPr>
        <w:t>institutional official responsible for a specific task. ATIXA recommends using the title of the role (e.g., Title IX Coordinator, VP of Institutional Equity) rather than a specific name unless otherwise noted.</w:t>
      </w:r>
    </w:p>
    <w:p w14:paraId="2FF8D49D" w14:textId="77777777" w:rsidR="005A75CD" w:rsidRPr="00421F45" w:rsidRDefault="005A75CD" w:rsidP="005A75CD">
      <w:pPr>
        <w:rPr>
          <w:rFonts w:cs="Calibri"/>
        </w:rPr>
      </w:pPr>
      <w:r w:rsidRPr="00421F45">
        <w:rPr>
          <w:rFonts w:cs="Calibri"/>
          <w:b/>
          <w:bCs/>
        </w:rPr>
        <w:t>Black Footnotes</w:t>
      </w:r>
      <w:r w:rsidRPr="00421F45">
        <w:rPr>
          <w:rFonts w:cs="Calibri"/>
        </w:rPr>
        <w:t xml:space="preserve"> – ATIXA recommends keeping these footnotes in the final policy.</w:t>
      </w:r>
    </w:p>
    <w:p w14:paraId="78014A46" w14:textId="77777777" w:rsidR="005A75CD" w:rsidRDefault="005A75CD" w:rsidP="005A75CD">
      <w:pPr>
        <w:rPr>
          <w:rFonts w:cs="Calibri"/>
          <w:color w:val="0070C0"/>
        </w:rPr>
      </w:pPr>
      <w:r w:rsidRPr="00421F45">
        <w:rPr>
          <w:rFonts w:cs="Calibri"/>
          <w:b/>
          <w:bCs/>
          <w:color w:val="0070C0"/>
        </w:rPr>
        <w:t>Blue Footnotes</w:t>
      </w:r>
      <w:r w:rsidRPr="00421F45">
        <w:rPr>
          <w:rFonts w:cs="Calibri"/>
          <w:color w:val="0070C0"/>
        </w:rPr>
        <w:t xml:space="preserve"> – ATIXA has included these footnotes for the policy writer(s), and they should be removed from the final policy.</w:t>
      </w:r>
    </w:p>
    <w:p w14:paraId="648B44F5" w14:textId="77777777" w:rsidR="005A75CD" w:rsidRPr="00A3034E" w:rsidRDefault="005A75CD" w:rsidP="005A75CD">
      <w:pPr>
        <w:rPr>
          <w:rFonts w:cs="Calibri"/>
        </w:rPr>
      </w:pPr>
      <w:r>
        <w:rPr>
          <w:rFonts w:cs="Calibri"/>
          <w:b/>
          <w:bCs/>
        </w:rPr>
        <w:t xml:space="preserve">Timelines </w:t>
      </w:r>
      <w:r w:rsidRPr="00421F45">
        <w:rPr>
          <w:rFonts w:cs="Calibri"/>
        </w:rPr>
        <w:t xml:space="preserve">– </w:t>
      </w:r>
      <w:r w:rsidRPr="00A3034E">
        <w:rPr>
          <w:rFonts w:cs="Calibri"/>
        </w:rPr>
        <w:t xml:space="preserve">ATIXA has chosen timelines for the process, but if you would like to </w:t>
      </w:r>
      <w:proofErr w:type="gramStart"/>
      <w:r w:rsidRPr="00A3034E">
        <w:rPr>
          <w:rFonts w:cs="Calibri"/>
        </w:rPr>
        <w:t>make adjustments</w:t>
      </w:r>
      <w:proofErr w:type="gramEnd"/>
      <w:r w:rsidRPr="00A3034E">
        <w:rPr>
          <w:rFonts w:cs="Calibri"/>
        </w:rPr>
        <w:t>, you may do so by searching for the word “business” in the document, which will show you all business day timelines.</w:t>
      </w:r>
    </w:p>
    <w:p w14:paraId="4DE149A3" w14:textId="77777777" w:rsidR="005A75CD" w:rsidRPr="00421F45" w:rsidRDefault="005A75CD" w:rsidP="005A75CD">
      <w:pPr>
        <w:rPr>
          <w:rFonts w:cs="Calibri"/>
        </w:rPr>
      </w:pPr>
      <w:r w:rsidRPr="00421F45">
        <w:rPr>
          <w:rFonts w:cs="Calibri"/>
          <w:b/>
          <w:bCs/>
        </w:rPr>
        <w:t>Internal Links</w:t>
      </w:r>
      <w:r w:rsidRPr="00421F45">
        <w:rPr>
          <w:rFonts w:cs="Calibri"/>
        </w:rPr>
        <w:t xml:space="preserve"> – ATIXA uses internal document links to </w:t>
      </w:r>
      <w:r>
        <w:rPr>
          <w:rFonts w:cs="Calibri"/>
        </w:rPr>
        <w:t>help</w:t>
      </w:r>
      <w:r w:rsidRPr="00421F45">
        <w:rPr>
          <w:rFonts w:cs="Calibri"/>
        </w:rPr>
        <w:t xml:space="preserve"> end-users easily mov</w:t>
      </w:r>
      <w:r>
        <w:rPr>
          <w:rFonts w:cs="Calibri"/>
        </w:rPr>
        <w:t xml:space="preserve">e </w:t>
      </w:r>
      <w:r w:rsidRPr="00421F45">
        <w:rPr>
          <w:rFonts w:cs="Calibri"/>
        </w:rPr>
        <w:t>from one section to another. Some institutions</w:t>
      </w:r>
      <w:r>
        <w:rPr>
          <w:rFonts w:cs="Calibri"/>
        </w:rPr>
        <w:t xml:space="preserve"> </w:t>
      </w:r>
      <w:r w:rsidRPr="00421F45" w:rsidDel="002D5999">
        <w:rPr>
          <w:rFonts w:cs="Calibri"/>
        </w:rPr>
        <w:t xml:space="preserve">will </w:t>
      </w:r>
      <w:r w:rsidRPr="00421F45">
        <w:rPr>
          <w:rFonts w:cs="Calibri"/>
        </w:rPr>
        <w:t xml:space="preserve">choose to keep </w:t>
      </w:r>
      <w:proofErr w:type="gramStart"/>
      <w:r w:rsidRPr="00421F45">
        <w:rPr>
          <w:rFonts w:cs="Calibri"/>
        </w:rPr>
        <w:t>the internal</w:t>
      </w:r>
      <w:proofErr w:type="gramEnd"/>
      <w:r w:rsidRPr="00421F45">
        <w:rPr>
          <w:rFonts w:cs="Calibri"/>
        </w:rPr>
        <w:t xml:space="preserve"> links, while others </w:t>
      </w:r>
      <w:r w:rsidRPr="00421F45" w:rsidDel="002D5999">
        <w:rPr>
          <w:rFonts w:cs="Calibri"/>
        </w:rPr>
        <w:t xml:space="preserve">will </w:t>
      </w:r>
      <w:r w:rsidRPr="00421F45">
        <w:rPr>
          <w:rFonts w:cs="Calibri"/>
        </w:rPr>
        <w:t xml:space="preserve">remove them. Additional internal links may also be added </w:t>
      </w:r>
      <w:proofErr w:type="gramStart"/>
      <w:r w:rsidRPr="00421F45">
        <w:rPr>
          <w:rFonts w:cs="Calibri"/>
        </w:rPr>
        <w:t>at</w:t>
      </w:r>
      <w:proofErr w:type="gramEnd"/>
      <w:r w:rsidRPr="00421F45">
        <w:rPr>
          <w:rFonts w:cs="Calibri"/>
        </w:rPr>
        <w:t xml:space="preserve"> the institution’s discretion.</w:t>
      </w:r>
    </w:p>
    <w:p w14:paraId="56D2DBDD" w14:textId="77777777" w:rsidR="005A75CD" w:rsidRDefault="005A75CD" w:rsidP="005A75CD">
      <w:pPr>
        <w:rPr>
          <w:rFonts w:cs="Calibri"/>
        </w:rPr>
      </w:pPr>
      <w:r>
        <w:rPr>
          <w:rFonts w:cs="Calibri"/>
          <w:b/>
          <w:bCs/>
        </w:rPr>
        <w:lastRenderedPageBreak/>
        <w:t xml:space="preserve">Updates to this Policy </w:t>
      </w:r>
      <w:r w:rsidRPr="00421F45">
        <w:rPr>
          <w:rFonts w:cs="Calibri"/>
        </w:rPr>
        <w:t xml:space="preserve">– </w:t>
      </w:r>
      <w:r>
        <w:rPr>
          <w:rFonts w:cs="Calibri"/>
        </w:rPr>
        <w:t>ATIXA has expedited the delivery of this 1P1P Model Policy Template to its members but expects that future litigation, clarifications from OCR, and changes to state law may cause the need for future edits and revisions. ATIXA will name each updated version accordingly to distinguish it from previous versions (the first is 1.0, then 2.0, etc.) Each time an updated version is released, members will be notified and expected to update their P&amp;P accordingly. ATIXA will track changes with each version to show what has changed from the previous version. The former model 1P2P had five iterations in four years, and although it is unknown</w:t>
      </w:r>
      <w:r w:rsidDel="006C56C1">
        <w:rPr>
          <w:rFonts w:cs="Calibri"/>
        </w:rPr>
        <w:t xml:space="preserve"> </w:t>
      </w:r>
      <w:r>
        <w:rPr>
          <w:rFonts w:cs="Calibri"/>
        </w:rPr>
        <w:t>how many will be needed this time, practitioners should expect at least several. ATIXA recognizes how difficult it can be to get P&amp;P approved and apologizes for the inconvenience, but it is inevitable and unavoidable when the government re-regulates.</w:t>
      </w:r>
    </w:p>
    <w:p w14:paraId="72498B78" w14:textId="77777777" w:rsidR="005A75CD" w:rsidRDefault="005A75CD" w:rsidP="005A75CD">
      <w:pPr>
        <w:rPr>
          <w:rFonts w:cs="Calibri"/>
        </w:rPr>
      </w:pPr>
      <w:r w:rsidRPr="00A3034E">
        <w:rPr>
          <w:rFonts w:cs="Calibri"/>
          <w:b/>
        </w:rPr>
        <w:t>ATIXA’s P&amp;P Builder</w:t>
      </w:r>
      <w:r>
        <w:rPr>
          <w:rFonts w:cs="Calibri"/>
        </w:rPr>
        <w:t xml:space="preserve"> </w:t>
      </w:r>
      <w:r w:rsidRPr="00421F45">
        <w:rPr>
          <w:rFonts w:cs="Calibri"/>
        </w:rPr>
        <w:t>–</w:t>
      </w:r>
      <w:r>
        <w:rPr>
          <w:rFonts w:cs="Calibri"/>
        </w:rPr>
        <w:t xml:space="preserve"> Coming soon, ATIXA Super Members can access the P&amp;P Builder tool. ATIXA Individual and Institutional Members can u</w:t>
      </w:r>
      <w:r w:rsidRPr="00EC6394">
        <w:rPr>
          <w:rFonts w:cs="Calibri"/>
        </w:rPr>
        <w:t xml:space="preserve">pgrade </w:t>
      </w:r>
      <w:r>
        <w:rPr>
          <w:rFonts w:cs="Calibri"/>
        </w:rPr>
        <w:t xml:space="preserve">membership levels </w:t>
      </w:r>
      <w:r w:rsidRPr="00EC6394">
        <w:rPr>
          <w:rFonts w:cs="Calibri"/>
        </w:rPr>
        <w:t xml:space="preserve">to secure access. </w:t>
      </w:r>
      <w:r>
        <w:rPr>
          <w:rFonts w:cs="Calibri"/>
        </w:rPr>
        <w:t>Members with access can log into My ATIXA, where they will be prompted to answer approximately 80 questions. ATIXA recommends</w:t>
      </w:r>
      <w:r w:rsidDel="00D703DF">
        <w:rPr>
          <w:rFonts w:cs="Calibri"/>
        </w:rPr>
        <w:t xml:space="preserve"> </w:t>
      </w:r>
      <w:r>
        <w:rPr>
          <w:rFonts w:cs="Calibri"/>
        </w:rPr>
        <w:t>previewing the questions and preparing</w:t>
      </w:r>
      <w:r w:rsidDel="00D703DF">
        <w:rPr>
          <w:rFonts w:cs="Calibri"/>
        </w:rPr>
        <w:t xml:space="preserve"> </w:t>
      </w:r>
      <w:r>
        <w:rPr>
          <w:rFonts w:cs="Calibri"/>
        </w:rPr>
        <w:t xml:space="preserve">answers ahead of time for a smooth start to the customization process. </w:t>
      </w:r>
      <w:r w:rsidRPr="00EB6F29">
        <w:rPr>
          <w:rFonts w:cs="Calibri"/>
        </w:rPr>
        <w:t xml:space="preserve">Based on </w:t>
      </w:r>
      <w:r>
        <w:rPr>
          <w:rFonts w:cs="Calibri"/>
        </w:rPr>
        <w:t>the</w:t>
      </w:r>
      <w:r w:rsidRPr="00EB6F29">
        <w:rPr>
          <w:rFonts w:cs="Calibri"/>
        </w:rPr>
        <w:t xml:space="preserve"> responses, a tailored version of 1P1P will be generated and ready for implementation at </w:t>
      </w:r>
      <w:r>
        <w:rPr>
          <w:rFonts w:cs="Calibri"/>
        </w:rPr>
        <w:t>the practitioner’s</w:t>
      </w:r>
      <w:r w:rsidRPr="00EB6F29">
        <w:rPr>
          <w:rFonts w:cs="Calibri"/>
        </w:rPr>
        <w:t xml:space="preserve"> institution. </w:t>
      </w:r>
      <w:r>
        <w:rPr>
          <w:rFonts w:cs="Calibri"/>
        </w:rPr>
        <w:t>Cus</w:t>
      </w:r>
      <w:r w:rsidRPr="00EB6F29">
        <w:rPr>
          <w:rFonts w:cs="Calibri"/>
        </w:rPr>
        <w:t xml:space="preserve">tomization typically takes about two </w:t>
      </w:r>
      <w:r>
        <w:rPr>
          <w:rFonts w:cs="Calibri"/>
        </w:rPr>
        <w:t xml:space="preserve">to three </w:t>
      </w:r>
      <w:r w:rsidRPr="00EB6F29">
        <w:rPr>
          <w:rFonts w:cs="Calibri"/>
        </w:rPr>
        <w:t>hours</w:t>
      </w:r>
      <w:r>
        <w:rPr>
          <w:rFonts w:cs="Calibri"/>
        </w:rPr>
        <w:t>, resulting in a</w:t>
      </w:r>
      <w:r w:rsidRPr="00EB6F29">
        <w:rPr>
          <w:rFonts w:cs="Calibri"/>
        </w:rPr>
        <w:t xml:space="preserve"> state-of-the-art template </w:t>
      </w:r>
      <w:r>
        <w:rPr>
          <w:rFonts w:cs="Calibri"/>
        </w:rPr>
        <w:t>for</w:t>
      </w:r>
      <w:r w:rsidRPr="00EB6F29">
        <w:rPr>
          <w:rFonts w:cs="Calibri"/>
        </w:rPr>
        <w:t xml:space="preserve"> present</w:t>
      </w:r>
      <w:r>
        <w:rPr>
          <w:rFonts w:cs="Calibri"/>
        </w:rPr>
        <w:t xml:space="preserve">ation </w:t>
      </w:r>
      <w:r w:rsidRPr="00EB6F29">
        <w:rPr>
          <w:rFonts w:cs="Calibri"/>
        </w:rPr>
        <w:t>to stakeholders</w:t>
      </w:r>
      <w:r>
        <w:rPr>
          <w:rFonts w:cs="Calibri"/>
        </w:rPr>
        <w:t>. Here are some helpful tips for using the tool:</w:t>
      </w:r>
    </w:p>
    <w:p w14:paraId="0A7860CD" w14:textId="77777777" w:rsidR="005A75CD" w:rsidRDefault="005A75CD" w:rsidP="005A75CD">
      <w:pPr>
        <w:pStyle w:val="ListParagraph"/>
        <w:numPr>
          <w:ilvl w:val="0"/>
          <w:numId w:val="78"/>
        </w:numPr>
        <w:spacing w:after="160" w:line="259" w:lineRule="auto"/>
        <w:rPr>
          <w:rFonts w:cs="Calibri"/>
        </w:rPr>
      </w:pPr>
      <w:r>
        <w:rPr>
          <w:rFonts w:cs="Calibri"/>
        </w:rPr>
        <w:t>The P&amp;P Builder saves your completed work, so if you want to adopt version 2.0 once released, you don’t have to answer the 80 questions again. The tool will apply your answers to each updated version, and it will only prompt you to answer questions that are specific to the newest version.</w:t>
      </w:r>
    </w:p>
    <w:p w14:paraId="472642A8" w14:textId="77777777" w:rsidR="005A75CD" w:rsidRDefault="005A75CD" w:rsidP="005A75CD">
      <w:pPr>
        <w:pStyle w:val="ListParagraph"/>
        <w:numPr>
          <w:ilvl w:val="0"/>
          <w:numId w:val="78"/>
        </w:numPr>
        <w:spacing w:after="160" w:line="259" w:lineRule="auto"/>
        <w:rPr>
          <w:rFonts w:cs="Calibri"/>
        </w:rPr>
      </w:pPr>
      <w:r>
        <w:rPr>
          <w:rFonts w:cs="Calibri"/>
        </w:rPr>
        <w:t>Preview the customized model before downloading it and make any changes with the P&amp;P Builder. That way, the changes will carry over to your future iterations.</w:t>
      </w:r>
    </w:p>
    <w:p w14:paraId="21D80AFD" w14:textId="77777777" w:rsidR="005A75CD" w:rsidRDefault="005A75CD" w:rsidP="005A75CD">
      <w:pPr>
        <w:pStyle w:val="ListParagraph"/>
        <w:numPr>
          <w:ilvl w:val="0"/>
          <w:numId w:val="78"/>
        </w:numPr>
        <w:spacing w:after="160" w:line="259" w:lineRule="auto"/>
        <w:rPr>
          <w:rFonts w:cs="Calibri"/>
        </w:rPr>
      </w:pPr>
      <w:r>
        <w:rPr>
          <w:rFonts w:cs="Calibri"/>
        </w:rPr>
        <w:t>Multiple administrators from the same institution can log in and work on the document or answer questions, if you want them to be able to do so.</w:t>
      </w:r>
    </w:p>
    <w:p w14:paraId="5E1EDBCD" w14:textId="55B2F9F4" w:rsidR="00901191" w:rsidRDefault="005A75CD" w:rsidP="000C3FBF">
      <w:pPr>
        <w:pStyle w:val="ListParagraph"/>
        <w:numPr>
          <w:ilvl w:val="0"/>
          <w:numId w:val="78"/>
        </w:numPr>
        <w:spacing w:after="160" w:line="259" w:lineRule="auto"/>
      </w:pPr>
      <w:r>
        <w:rPr>
          <w:rFonts w:cs="Calibri"/>
        </w:rPr>
        <w:t xml:space="preserve">If you don’t know an answer, you can save your work, determine the answer, and come back and complete the Q&amp;A later. You can also skip questions, but you will need to come back at some point to revise, as those customizations will not be made unless each question is answered. </w:t>
      </w:r>
    </w:p>
    <w:p w14:paraId="458CD6E4" w14:textId="77777777" w:rsidR="00901191" w:rsidRPr="0026035B" w:rsidRDefault="00901191" w:rsidP="00901191">
      <w:pPr>
        <w:spacing w:after="160" w:line="259" w:lineRule="auto"/>
        <w:rPr>
          <w:b/>
          <w:bCs/>
        </w:rPr>
      </w:pPr>
    </w:p>
    <w:p w14:paraId="6E74B28B" w14:textId="77777777" w:rsidR="004D69DA" w:rsidRDefault="004D69DA" w:rsidP="004D69DA">
      <w:pPr>
        <w:rPr>
          <w:rFonts w:cs="Calibri"/>
        </w:rPr>
      </w:pPr>
    </w:p>
    <w:p w14:paraId="4FD2945E" w14:textId="77777777" w:rsidR="004D69DA" w:rsidRDefault="004D69DA" w:rsidP="00AF3A31"/>
    <w:p w14:paraId="57160FE5" w14:textId="77777777" w:rsidR="00EC176B" w:rsidRDefault="00EC176B" w:rsidP="001417E2"/>
    <w:p w14:paraId="207CC561" w14:textId="75F3B211" w:rsidR="00331C2F" w:rsidRPr="00F539C8" w:rsidRDefault="00331C2F" w:rsidP="00CF4CBE">
      <w:pPr>
        <w:rPr>
          <w:b/>
          <w:bCs/>
        </w:rPr>
      </w:pPr>
      <w:bookmarkStart w:id="203" w:name="_Appeals"/>
      <w:bookmarkStart w:id="204" w:name="_APPENDIX_C:_STATEMENT"/>
      <w:bookmarkStart w:id="205" w:name="_APPENDIX_D:_MODEL"/>
      <w:bookmarkStart w:id="206" w:name="_APPENDIX_E:_VIOLENCE"/>
      <w:bookmarkStart w:id="207" w:name="_APPENDIX_F:_PROCESS"/>
      <w:bookmarkStart w:id="208" w:name="_Disability_Accommodation_in"/>
      <w:bookmarkStart w:id="209" w:name="_APPENDIX_G:_TITLE"/>
      <w:bookmarkEnd w:id="132"/>
      <w:bookmarkEnd w:id="133"/>
      <w:bookmarkEnd w:id="203"/>
      <w:bookmarkEnd w:id="204"/>
      <w:bookmarkEnd w:id="205"/>
      <w:bookmarkEnd w:id="206"/>
      <w:bookmarkEnd w:id="207"/>
      <w:bookmarkEnd w:id="208"/>
      <w:bookmarkEnd w:id="209"/>
    </w:p>
    <w:sectPr w:rsidR="00331C2F" w:rsidRPr="00F539C8" w:rsidSect="00B43097">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FA712" w14:textId="77777777" w:rsidR="0027264A" w:rsidRDefault="0027264A" w:rsidP="007609A7">
      <w:r>
        <w:separator/>
      </w:r>
    </w:p>
  </w:endnote>
  <w:endnote w:type="continuationSeparator" w:id="0">
    <w:p w14:paraId="38A16BB2" w14:textId="77777777" w:rsidR="0027264A" w:rsidRDefault="0027264A" w:rsidP="007609A7">
      <w:r>
        <w:continuationSeparator/>
      </w:r>
    </w:p>
  </w:endnote>
  <w:endnote w:type="continuationNotice" w:id="1">
    <w:p w14:paraId="4B3ED883" w14:textId="77777777" w:rsidR="0027264A" w:rsidRDefault="00272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libri"/>
    <w:charset w:val="00"/>
    <w:family w:val="auto"/>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AAEB" w14:textId="00CD8DF3" w:rsidR="000D6228" w:rsidRPr="001E798A" w:rsidRDefault="000D6228" w:rsidP="001E798A">
    <w:pPr>
      <w:pStyle w:val="Footer"/>
      <w:jc w:val="center"/>
      <w:rPr>
        <w:noProof/>
        <w:sz w:val="22"/>
        <w:szCs w:val="22"/>
      </w:rPr>
    </w:pPr>
    <w:r w:rsidRPr="001E798A">
      <w:rPr>
        <w:sz w:val="22"/>
        <w:szCs w:val="22"/>
      </w:rPr>
      <w:t>-</w:t>
    </w:r>
    <w:r>
      <w:rPr>
        <w:sz w:val="22"/>
        <w:szCs w:val="22"/>
      </w:rPr>
      <w:t xml:space="preserve"> </w:t>
    </w:r>
    <w:r w:rsidRPr="001E798A">
      <w:rPr>
        <w:sz w:val="22"/>
        <w:szCs w:val="22"/>
      </w:rPr>
      <w:fldChar w:fldCharType="begin"/>
    </w:r>
    <w:r w:rsidRPr="001E798A">
      <w:rPr>
        <w:sz w:val="22"/>
        <w:szCs w:val="22"/>
      </w:rPr>
      <w:instrText xml:space="preserve"> PAGE   \* MERGEFORMAT </w:instrText>
    </w:r>
    <w:r w:rsidRPr="001E798A">
      <w:rPr>
        <w:sz w:val="22"/>
        <w:szCs w:val="22"/>
      </w:rPr>
      <w:fldChar w:fldCharType="separate"/>
    </w:r>
    <w:r w:rsidRPr="001E798A">
      <w:rPr>
        <w:noProof/>
        <w:sz w:val="22"/>
        <w:szCs w:val="22"/>
      </w:rPr>
      <w:t>1</w:t>
    </w:r>
    <w:r w:rsidRPr="001E798A">
      <w:rPr>
        <w:noProof/>
        <w:sz w:val="22"/>
        <w:szCs w:val="22"/>
      </w:rPr>
      <w:fldChar w:fldCharType="end"/>
    </w:r>
    <w:r>
      <w:rPr>
        <w:noProof/>
        <w:sz w:val="22"/>
        <w:szCs w:val="22"/>
      </w:rPr>
      <w:t xml:space="preserve"> </w:t>
    </w:r>
    <w:r w:rsidRPr="001E798A">
      <w:rPr>
        <w:noProof/>
        <w:sz w:val="22"/>
        <w:szCs w:val="22"/>
      </w:rPr>
      <w:t>-</w:t>
    </w:r>
  </w:p>
  <w:p w14:paraId="714B6ECB" w14:textId="77777777" w:rsidR="000D6228" w:rsidRPr="001E798A" w:rsidRDefault="000D6228" w:rsidP="001E798A">
    <w:pPr>
      <w:pStyle w:val="Footer"/>
      <w:jc w:val="center"/>
      <w:rPr>
        <w:sz w:val="12"/>
        <w:szCs w:val="12"/>
      </w:rPr>
    </w:pPr>
  </w:p>
  <w:p w14:paraId="6E34D1FA" w14:textId="174B90CA" w:rsidR="000D6228" w:rsidRPr="001E798A" w:rsidRDefault="00B73494">
    <w:pPr>
      <w:pStyle w:val="Footer"/>
      <w:rPr>
        <w:sz w:val="20"/>
        <w:szCs w:val="20"/>
      </w:rPr>
    </w:pPr>
    <w:r>
      <w:rPr>
        <w:sz w:val="20"/>
        <w:szCs w:val="20"/>
      </w:rPr>
      <w:t xml:space="preserve">ATIXA’s </w:t>
    </w:r>
    <w:r w:rsidR="000D6228">
      <w:rPr>
        <w:sz w:val="20"/>
        <w:szCs w:val="20"/>
      </w:rPr>
      <w:t>1P</w:t>
    </w:r>
    <w:r w:rsidR="004A1A46">
      <w:rPr>
        <w:sz w:val="20"/>
        <w:szCs w:val="20"/>
      </w:rPr>
      <w:t>1</w:t>
    </w:r>
    <w:r w:rsidR="000D6228">
      <w:rPr>
        <w:sz w:val="20"/>
        <w:szCs w:val="20"/>
      </w:rPr>
      <w:t xml:space="preserve">P </w:t>
    </w:r>
    <w:r w:rsidR="000D6228" w:rsidRPr="001E798A">
      <w:rPr>
        <w:sz w:val="20"/>
        <w:szCs w:val="20"/>
      </w:rPr>
      <w:t xml:space="preserve">Version </w:t>
    </w:r>
    <w:r>
      <w:rPr>
        <w:sz w:val="20"/>
        <w:szCs w:val="20"/>
      </w:rPr>
      <w:t>1</w:t>
    </w:r>
    <w:r w:rsidR="000D6228">
      <w:rPr>
        <w:sz w:val="20"/>
        <w:szCs w:val="20"/>
      </w:rPr>
      <w:t>.0</w:t>
    </w:r>
    <w:r w:rsidR="000D6228" w:rsidRPr="001E798A">
      <w:rPr>
        <w:sz w:val="20"/>
        <w:szCs w:val="20"/>
      </w:rPr>
      <w:tab/>
      <w:t>Association of Title IX Administrators</w:t>
    </w:r>
    <w:r w:rsidR="000D6228">
      <w:rPr>
        <w:sz w:val="20"/>
        <w:szCs w:val="20"/>
      </w:rPr>
      <w:t xml:space="preserve"> </w:t>
    </w:r>
    <w:r w:rsidR="000D6228">
      <w:rPr>
        <w:sz w:val="20"/>
        <w:szCs w:val="20"/>
      </w:rPr>
      <w:tab/>
    </w:r>
    <w:r w:rsidR="000D6228" w:rsidRPr="00FC77C0">
      <w:rPr>
        <w:sz w:val="20"/>
        <w:szCs w:val="20"/>
      </w:rPr>
      <w:t xml:space="preserve">© </w:t>
    </w:r>
    <w:r w:rsidRPr="00FC77C0">
      <w:rPr>
        <w:sz w:val="20"/>
        <w:szCs w:val="20"/>
      </w:rPr>
      <w:t xml:space="preserve">June </w:t>
    </w:r>
    <w:r w:rsidR="002A63EE" w:rsidRPr="00FC77C0">
      <w:rPr>
        <w:sz w:val="20"/>
        <w:szCs w:val="20"/>
      </w:rPr>
      <w:t>202</w:t>
    </w:r>
    <w:r w:rsidR="002A1C42" w:rsidRPr="00FC77C0">
      <w:rPr>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B649" w14:textId="07AE605B" w:rsidR="00C770B4" w:rsidRPr="001E798A" w:rsidRDefault="00C770B4" w:rsidP="00C770B4">
    <w:pPr>
      <w:pStyle w:val="Footer"/>
      <w:jc w:val="center"/>
      <w:rPr>
        <w:noProof/>
        <w:sz w:val="22"/>
        <w:szCs w:val="22"/>
      </w:rPr>
    </w:pPr>
  </w:p>
  <w:p w14:paraId="7750FA57" w14:textId="77777777" w:rsidR="00C770B4" w:rsidRPr="001E798A" w:rsidRDefault="00C770B4" w:rsidP="00C770B4">
    <w:pPr>
      <w:pStyle w:val="Footer"/>
      <w:jc w:val="center"/>
      <w:rPr>
        <w:sz w:val="12"/>
        <w:szCs w:val="12"/>
      </w:rPr>
    </w:pPr>
  </w:p>
  <w:p w14:paraId="269410C7" w14:textId="01361AB3" w:rsidR="00B132F3" w:rsidRPr="00C770B4" w:rsidRDefault="00C770B4">
    <w:pPr>
      <w:pStyle w:val="Footer"/>
      <w:rPr>
        <w:sz w:val="20"/>
        <w:szCs w:val="20"/>
      </w:rPr>
    </w:pPr>
    <w:r>
      <w:rPr>
        <w:sz w:val="20"/>
        <w:szCs w:val="20"/>
      </w:rPr>
      <w:t xml:space="preserve">ATIXA’s 1P1P </w:t>
    </w:r>
    <w:r w:rsidRPr="001E798A">
      <w:rPr>
        <w:sz w:val="20"/>
        <w:szCs w:val="20"/>
      </w:rPr>
      <w:t xml:space="preserve">Version </w:t>
    </w:r>
    <w:r>
      <w:rPr>
        <w:sz w:val="20"/>
        <w:szCs w:val="20"/>
      </w:rPr>
      <w:t>1.0</w:t>
    </w:r>
    <w:r w:rsidRPr="001E798A">
      <w:rPr>
        <w:sz w:val="20"/>
        <w:szCs w:val="20"/>
      </w:rPr>
      <w:tab/>
      <w:t>Association of Title IX Administrators</w:t>
    </w:r>
    <w:r>
      <w:rPr>
        <w:sz w:val="20"/>
        <w:szCs w:val="20"/>
      </w:rPr>
      <w:t xml:space="preserve"> </w:t>
    </w:r>
    <w:r>
      <w:rPr>
        <w:sz w:val="20"/>
        <w:szCs w:val="20"/>
      </w:rPr>
      <w:tab/>
    </w:r>
    <w:r w:rsidRPr="00AE6AF0">
      <w:rPr>
        <w:sz w:val="20"/>
        <w:szCs w:val="20"/>
      </w:rPr>
      <w:t>©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D2F8" w14:textId="77777777" w:rsidR="0027264A" w:rsidRDefault="0027264A" w:rsidP="007609A7">
      <w:r>
        <w:separator/>
      </w:r>
    </w:p>
  </w:footnote>
  <w:footnote w:type="continuationSeparator" w:id="0">
    <w:p w14:paraId="6E0E7C58" w14:textId="77777777" w:rsidR="0027264A" w:rsidRDefault="0027264A" w:rsidP="007609A7">
      <w:r>
        <w:continuationSeparator/>
      </w:r>
    </w:p>
  </w:footnote>
  <w:footnote w:type="continuationNotice" w:id="1">
    <w:p w14:paraId="7174E5D6" w14:textId="77777777" w:rsidR="0027264A" w:rsidRDefault="0027264A"/>
  </w:footnote>
  <w:footnote w:id="2">
    <w:p w14:paraId="3CF14064" w14:textId="77777777" w:rsidR="001A50A7" w:rsidRPr="0023151C" w:rsidRDefault="001A50A7" w:rsidP="001A50A7">
      <w:pPr>
        <w:pStyle w:val="FootnoteText"/>
        <w:rPr>
          <w:rFonts w:asciiTheme="minorHAnsi" w:hAnsiTheme="minorHAnsi" w:cstheme="minorHAnsi"/>
        </w:rPr>
      </w:pPr>
      <w:r w:rsidRPr="005D191F">
        <w:rPr>
          <w:rStyle w:val="FootnoteReference"/>
          <w:rFonts w:asciiTheme="minorHAnsi" w:hAnsiTheme="minorHAnsi" w:cstheme="minorHAnsi"/>
          <w:color w:val="4472C4" w:themeColor="accent1"/>
        </w:rPr>
        <w:footnoteRef/>
      </w:r>
      <w:r w:rsidRPr="005D191F">
        <w:rPr>
          <w:rFonts w:asciiTheme="minorHAnsi" w:hAnsiTheme="minorHAnsi" w:cstheme="minorHAnsi"/>
          <w:color w:val="4472C4" w:themeColor="accent1"/>
        </w:rPr>
        <w:t xml:space="preserve"> Recipients must clearly identify their Title IX Coordinator.</w:t>
      </w:r>
    </w:p>
  </w:footnote>
  <w:footnote w:id="3">
    <w:p w14:paraId="0E4007DC" w14:textId="77777777" w:rsidR="001A50A7" w:rsidRPr="0023151C" w:rsidRDefault="001A50A7" w:rsidP="001A50A7">
      <w:pPr>
        <w:pStyle w:val="FootnoteText"/>
        <w:rPr>
          <w:rFonts w:asciiTheme="minorHAnsi" w:hAnsiTheme="minorHAnsi" w:cstheme="minorHAnsi"/>
          <w:color w:val="000000"/>
        </w:rPr>
      </w:pPr>
      <w:r w:rsidRPr="005D191F">
        <w:rPr>
          <w:rStyle w:val="FootnoteReference"/>
          <w:rFonts w:asciiTheme="minorHAnsi" w:hAnsiTheme="minorHAnsi" w:cstheme="minorHAnsi"/>
          <w:color w:val="4472C4" w:themeColor="accent1"/>
        </w:rPr>
        <w:footnoteRef/>
      </w:r>
      <w:r w:rsidRPr="005D191F">
        <w:rPr>
          <w:rFonts w:asciiTheme="minorHAnsi" w:hAnsiTheme="minorHAnsi" w:cstheme="minorHAnsi"/>
          <w:color w:val="4472C4" w:themeColor="accent1"/>
        </w:rPr>
        <w:t xml:space="preserve"> Consult grant terms and program participation agreements for specific disclosures required.</w:t>
      </w:r>
    </w:p>
  </w:footnote>
  <w:footnote w:id="4">
    <w:p w14:paraId="497A39FE" w14:textId="30C7FE3C" w:rsidR="001A50A7" w:rsidRPr="0023151C" w:rsidRDefault="001A50A7" w:rsidP="001A50A7">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5D191F">
        <w:rPr>
          <w:rFonts w:asciiTheme="minorHAnsi" w:hAnsiTheme="minorHAnsi" w:cstheme="minorHAnsi"/>
          <w:color w:val="4472C4" w:themeColor="accent1"/>
        </w:rPr>
        <w:t xml:space="preserve">EEOC has jurisdiction over Title IX employment claims. </w:t>
      </w:r>
      <w:r w:rsidR="003C2880">
        <w:rPr>
          <w:rFonts w:asciiTheme="minorHAnsi" w:hAnsiTheme="minorHAnsi" w:cstheme="minorHAnsi"/>
          <w:color w:val="4472C4" w:themeColor="accent1"/>
        </w:rPr>
        <w:t>ATIXA</w:t>
      </w:r>
      <w:r w:rsidRPr="005D191F">
        <w:rPr>
          <w:rFonts w:asciiTheme="minorHAnsi" w:hAnsiTheme="minorHAnsi" w:cstheme="minorHAnsi"/>
          <w:color w:val="4472C4" w:themeColor="accent1"/>
        </w:rPr>
        <w:t xml:space="preserve"> recommend</w:t>
      </w:r>
      <w:r w:rsidR="003C2880">
        <w:rPr>
          <w:rFonts w:asciiTheme="minorHAnsi" w:hAnsiTheme="minorHAnsi" w:cstheme="minorHAnsi"/>
          <w:color w:val="4472C4" w:themeColor="accent1"/>
        </w:rPr>
        <w:t>s</w:t>
      </w:r>
      <w:r w:rsidRPr="005D191F">
        <w:rPr>
          <w:rFonts w:asciiTheme="minorHAnsi" w:hAnsiTheme="minorHAnsi" w:cstheme="minorHAnsi"/>
          <w:color w:val="4472C4" w:themeColor="accent1"/>
        </w:rPr>
        <w:t xml:space="preserve"> providing local EEOC office contact information in this section. Please consult: </w:t>
      </w:r>
      <w:hyperlink r:id="rId1" w:history="1">
        <w:r w:rsidRPr="005D191F">
          <w:rPr>
            <w:rStyle w:val="Hyperlink"/>
            <w:rFonts w:asciiTheme="minorHAnsi" w:hAnsiTheme="minorHAnsi" w:cstheme="minorHAnsi"/>
            <w:color w:val="4472C4" w:themeColor="accent1"/>
          </w:rPr>
          <w:t>http://www.eeoc.gov/field/index.cfm</w:t>
        </w:r>
      </w:hyperlink>
      <w:r w:rsidRPr="005D191F">
        <w:rPr>
          <w:rFonts w:asciiTheme="minorHAnsi" w:hAnsiTheme="minorHAnsi" w:cstheme="minorHAnsi"/>
          <w:color w:val="4472C4" w:themeColor="accent1"/>
        </w:rPr>
        <w:t xml:space="preserve"> to locate your local office’s contact information.</w:t>
      </w:r>
    </w:p>
  </w:footnote>
  <w:footnote w:id="5">
    <w:p w14:paraId="79724267" w14:textId="68B4C09D" w:rsidR="00A35478" w:rsidRDefault="00A35478" w:rsidP="00A35478">
      <w:pPr>
        <w:pStyle w:val="FootnoteText"/>
      </w:pPr>
      <w:r w:rsidRPr="005D191F">
        <w:rPr>
          <w:rStyle w:val="FootnoteReference"/>
          <w:color w:val="4472C4" w:themeColor="accent1"/>
        </w:rPr>
        <w:footnoteRef/>
      </w:r>
      <w:r w:rsidRPr="005D191F">
        <w:rPr>
          <w:color w:val="4472C4" w:themeColor="accent1"/>
        </w:rPr>
        <w:t xml:space="preserve"> By law, religiously affiliated institutions may choose to omit this section. Public institutions should carefully review this section with legal counsel and note than in some jurisdictions using this section as the basis for discipline could run afoul of First Amendment rights or state laws.</w:t>
      </w:r>
    </w:p>
  </w:footnote>
  <w:footnote w:id="6">
    <w:p w14:paraId="0A7BD884" w14:textId="765E5C87" w:rsidR="00812C50" w:rsidRDefault="00812C50">
      <w:pPr>
        <w:pStyle w:val="FootnoteText"/>
      </w:pPr>
      <w:r>
        <w:rPr>
          <w:rStyle w:val="FootnoteReference"/>
        </w:rPr>
        <w:footnoteRef/>
      </w:r>
      <w:r>
        <w:t xml:space="preserve"> </w:t>
      </w:r>
      <w:r w:rsidR="00815527">
        <w:t>Throughout this Policy, “o</w:t>
      </w:r>
      <w:r>
        <w:t>n the basis of sex</w:t>
      </w:r>
      <w:r w:rsidR="00815527">
        <w:t>”</w:t>
      </w:r>
      <w:r>
        <w:t xml:space="preserve"> means conduct that is sexual in nature, or that is directed to the Complainant because of his/her/their actual or perceived sex or gender identity.</w:t>
      </w:r>
    </w:p>
  </w:footnote>
  <w:footnote w:id="7">
    <w:p w14:paraId="5A4CBB49" w14:textId="77777777" w:rsidR="00141B10" w:rsidRPr="0023151C" w:rsidRDefault="00141B10" w:rsidP="00141B10">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This definition set is not taken from the FBI Uniform Crime Reporting (UCR) system verbatim. ATIXA has substituted Complainant for “victim,” has removed references to his/her throughout, and has defined “private body parts.” These are liberties ATIXA thinks are important to take with respect to the federal definitions, but users should consult legal counsel before adopting them.</w:t>
      </w:r>
    </w:p>
  </w:footnote>
  <w:footnote w:id="8">
    <w:p w14:paraId="3ADC6569" w14:textId="73D1F1B6" w:rsidR="00354B25" w:rsidRDefault="00354B25">
      <w:pPr>
        <w:pStyle w:val="FootnoteText"/>
      </w:pPr>
      <w:r>
        <w:rPr>
          <w:rStyle w:val="FootnoteReference"/>
        </w:rPr>
        <w:footnoteRef/>
      </w:r>
      <w:r>
        <w:t xml:space="preserve"> This definition </w:t>
      </w:r>
      <w:r w:rsidR="00D44106">
        <w:t xml:space="preserve">of sexual assault </w:t>
      </w:r>
      <w:r>
        <w:t>does not constitute a chargeable offense under the Policy. It is a description</w:t>
      </w:r>
      <w:r w:rsidR="00B92A7E">
        <w:t xml:space="preserve"> encompassing the six chargeable offenses listed below it. </w:t>
      </w:r>
    </w:p>
  </w:footnote>
  <w:footnote w:id="9">
    <w:p w14:paraId="2B8A8B6E" w14:textId="16396699" w:rsidR="00FE6ADD" w:rsidRDefault="00FE6ADD">
      <w:pPr>
        <w:pStyle w:val="FootnoteText"/>
      </w:pPr>
      <w:r>
        <w:rPr>
          <w:rStyle w:val="FootnoteReference"/>
        </w:rPr>
        <w:footnoteRef/>
      </w:r>
      <w:r>
        <w:t xml:space="preserve"> For purposes of this Policy, violence is defined as intentionally or recklessly causing the Complainant physical, emotional, or psychological harm.</w:t>
      </w:r>
      <w:r w:rsidR="00882EC5">
        <w:t xml:space="preserve"> Legitimate use of violence for self-defense is not chargeable under this Policy because the purpose is safety, not harm. </w:t>
      </w:r>
      <w:r w:rsidR="006642D7">
        <w:t xml:space="preserve">Consensual use of violence, such as in kink relationships, would also not meet this definition, in most circumstances. </w:t>
      </w:r>
    </w:p>
  </w:footnote>
  <w:footnote w:id="10">
    <w:p w14:paraId="0EE7F3EF" w14:textId="125312B8" w:rsidR="00812C50" w:rsidRPr="0023151C" w:rsidRDefault="00812C50" w:rsidP="00812C50">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For purposes of this definition, “A ‘course of conduct’ requires that there be more than one incident and the conduct must be directed at a specific person. Stalking can occur in person or using technology, and the duration, frequency, and intensity of the conduct should be considered. Stalking tactics can include, but are not limited to watching, following, using tracking devices, monitoring online activity, unwanted contact, property invasion or damage, hacking accounts, threats, violence, sabotage, and attacks. (Federal Register, Vol 89, No. 83, 04/29/2024, p. 33523).</w:t>
      </w:r>
      <w:r>
        <w:rPr>
          <w:rFonts w:asciiTheme="minorHAnsi" w:hAnsiTheme="minorHAnsi" w:cstheme="minorHAnsi"/>
        </w:rPr>
        <w:t xml:space="preserve"> Merely annoying conduct, even if repeated, is a nuisance, but is not typically chargeable as stalking. </w:t>
      </w:r>
    </w:p>
  </w:footnote>
  <w:footnote w:id="11">
    <w:p w14:paraId="6EC29C86" w14:textId="6DA66D83" w:rsidR="002A4AD8" w:rsidRPr="0023151C" w:rsidRDefault="002A4AD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Reasonable person</w:t>
      </w:r>
      <w:r w:rsidR="00025377">
        <w:rPr>
          <w:rFonts w:asciiTheme="minorHAnsi" w:hAnsiTheme="minorHAnsi" w:cstheme="minorHAnsi"/>
        </w:rPr>
        <w:t xml:space="preserve"> is an objective standard</w:t>
      </w:r>
      <w:r w:rsidRPr="0023151C">
        <w:rPr>
          <w:rFonts w:asciiTheme="minorHAnsi" w:hAnsiTheme="minorHAnsi" w:cstheme="minorHAnsi"/>
        </w:rPr>
        <w:t xml:space="preserve"> mean</w:t>
      </w:r>
      <w:r w:rsidR="00025377">
        <w:rPr>
          <w:rFonts w:asciiTheme="minorHAnsi" w:hAnsiTheme="minorHAnsi" w:cstheme="minorHAnsi"/>
        </w:rPr>
        <w:t>ing</w:t>
      </w:r>
      <w:r w:rsidRPr="0023151C">
        <w:rPr>
          <w:rFonts w:asciiTheme="minorHAnsi" w:hAnsiTheme="minorHAnsi" w:cstheme="minorHAnsi"/>
        </w:rPr>
        <w:t xml:space="preserve"> a person in the Complainant’s </w:t>
      </w:r>
      <w:r w:rsidR="00025377">
        <w:rPr>
          <w:rFonts w:asciiTheme="minorHAnsi" w:hAnsiTheme="minorHAnsi" w:cstheme="minorHAnsi"/>
        </w:rPr>
        <w:t>shoes (having similar characteristics/demographics to the Complainant)</w:t>
      </w:r>
      <w:r w:rsidRPr="0023151C">
        <w:rPr>
          <w:rFonts w:asciiTheme="minorHAnsi" w:hAnsiTheme="minorHAnsi" w:cstheme="minorHAnsi"/>
        </w:rPr>
        <w:t>.</w:t>
      </w:r>
      <w:r w:rsidR="00025377">
        <w:rPr>
          <w:rFonts w:asciiTheme="minorHAnsi" w:hAnsiTheme="minorHAnsi" w:cstheme="minorHAnsi"/>
        </w:rPr>
        <w:t xml:space="preserve"> </w:t>
      </w:r>
    </w:p>
  </w:footnote>
  <w:footnote w:id="12">
    <w:p w14:paraId="04548FEE" w14:textId="5AA9CB31" w:rsidR="002A4AD8" w:rsidRPr="0023151C" w:rsidRDefault="002A4AD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In the context of stalking, a Complainant is not required to obtain medical or other professional treatment and counseling is not required to show substantial emotional distress.  </w:t>
      </w:r>
    </w:p>
  </w:footnote>
  <w:footnote w:id="13">
    <w:p w14:paraId="78D3B9B6" w14:textId="4097AF46" w:rsidR="00746832" w:rsidRPr="00746832" w:rsidRDefault="00746832">
      <w:pPr>
        <w:pStyle w:val="FootnoteText"/>
        <w:rPr>
          <w:color w:val="4472C4" w:themeColor="accent1"/>
        </w:rPr>
      </w:pPr>
      <w:r w:rsidRPr="00746832">
        <w:rPr>
          <w:rStyle w:val="FootnoteReference"/>
          <w:color w:val="4472C4" w:themeColor="accent1"/>
        </w:rPr>
        <w:footnoteRef/>
      </w:r>
      <w:r w:rsidRPr="00746832">
        <w:rPr>
          <w:color w:val="4472C4" w:themeColor="accent1"/>
        </w:rPr>
        <w:t xml:space="preserve"> </w:t>
      </w:r>
      <w:r w:rsidRPr="00746832">
        <w:rPr>
          <w:color w:val="4472C4" w:themeColor="accent1"/>
          <w:highlight w:val="lightGray"/>
        </w:rPr>
        <w:t>If there are additional offenses that should be added under state law, they can be added to this section.</w:t>
      </w:r>
    </w:p>
  </w:footnote>
  <w:footnote w:id="14">
    <w:p w14:paraId="650F3D68" w14:textId="610C2886" w:rsidR="00C77953" w:rsidRPr="0023151C" w:rsidRDefault="00C77953">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This offense is not classified </w:t>
      </w:r>
      <w:r w:rsidR="001B70F8">
        <w:rPr>
          <w:rFonts w:asciiTheme="minorHAnsi" w:hAnsiTheme="minorHAnsi" w:cstheme="minorHAnsi"/>
        </w:rPr>
        <w:t>under</w:t>
      </w:r>
      <w:r w:rsidR="001B70F8" w:rsidRPr="0023151C">
        <w:rPr>
          <w:rFonts w:asciiTheme="minorHAnsi" w:hAnsiTheme="minorHAnsi" w:cstheme="minorHAnsi"/>
        </w:rPr>
        <w:t xml:space="preserve"> </w:t>
      </w:r>
      <w:r w:rsidRPr="0023151C">
        <w:rPr>
          <w:rFonts w:asciiTheme="minorHAnsi" w:hAnsiTheme="minorHAnsi" w:cstheme="minorHAnsi"/>
        </w:rPr>
        <w:t>Title IX as “Sex-based harassment,” but it is included here</w:t>
      </w:r>
      <w:r w:rsidR="00330921" w:rsidRPr="0023151C">
        <w:rPr>
          <w:rFonts w:asciiTheme="minorHAnsi" w:hAnsiTheme="minorHAnsi" w:cstheme="minorHAnsi"/>
        </w:rPr>
        <w:t xml:space="preserve"> in this </w:t>
      </w:r>
      <w:r w:rsidR="00755882">
        <w:rPr>
          <w:rFonts w:asciiTheme="minorHAnsi" w:hAnsiTheme="minorHAnsi" w:cstheme="minorHAnsi"/>
        </w:rPr>
        <w:t>P</w:t>
      </w:r>
      <w:r w:rsidR="00330921" w:rsidRPr="0023151C">
        <w:rPr>
          <w:rFonts w:asciiTheme="minorHAnsi" w:hAnsiTheme="minorHAnsi" w:cstheme="minorHAnsi"/>
        </w:rPr>
        <w:t>olicy</w:t>
      </w:r>
      <w:r w:rsidRPr="0023151C">
        <w:rPr>
          <w:rFonts w:asciiTheme="minorHAnsi" w:hAnsiTheme="minorHAnsi" w:cstheme="minorHAnsi"/>
        </w:rPr>
        <w:t xml:space="preserve"> </w:t>
      </w:r>
      <w:r w:rsidR="00250D8A">
        <w:rPr>
          <w:rFonts w:asciiTheme="minorHAnsi" w:hAnsiTheme="minorHAnsi" w:cstheme="minorHAnsi"/>
        </w:rPr>
        <w:t>as a tool to address a wider range of behaviors</w:t>
      </w:r>
      <w:r w:rsidR="00330921" w:rsidRPr="0023151C">
        <w:rPr>
          <w:rFonts w:asciiTheme="minorHAnsi" w:hAnsiTheme="minorHAnsi" w:cstheme="minorHAnsi"/>
        </w:rPr>
        <w:t xml:space="preserve">. </w:t>
      </w:r>
    </w:p>
  </w:footnote>
  <w:footnote w:id="15">
    <w:p w14:paraId="15426C5A" w14:textId="3DFB21DE" w:rsidR="0050502A" w:rsidRDefault="0050502A">
      <w:pPr>
        <w:pStyle w:val="FootnoteText"/>
      </w:pPr>
      <w:r>
        <w:rPr>
          <w:rStyle w:val="FootnoteReference"/>
        </w:rPr>
        <w:footnoteRef/>
      </w:r>
      <w:r>
        <w:t xml:space="preserve">  For Bullying, Hazing, and Endangerment, these offenses can be </w:t>
      </w:r>
      <w:r w:rsidRPr="0050502A">
        <w:t xml:space="preserve">applied when the conduct </w:t>
      </w:r>
      <w:r w:rsidRPr="00ED3CAB">
        <w:t>is on the basis of protected characteristics, but is not a form of Sex-based Harassment</w:t>
      </w:r>
      <w:r>
        <w:t>.</w:t>
      </w:r>
    </w:p>
  </w:footnote>
  <w:footnote w:id="16">
    <w:p w14:paraId="45B3B493" w14:textId="2A7B8BE0" w:rsidR="005C57E8" w:rsidRPr="0023151C" w:rsidRDefault="005C57E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Nothing in this section restricts the ability of the </w:t>
      </w:r>
      <w:r w:rsidR="00FD5E2C" w:rsidRPr="0023151C">
        <w:rPr>
          <w:rFonts w:asciiTheme="minorHAnsi" w:hAnsiTheme="minorHAnsi" w:cstheme="minorHAnsi"/>
        </w:rPr>
        <w:t>Parties</w:t>
      </w:r>
      <w:r w:rsidRPr="0023151C">
        <w:rPr>
          <w:rFonts w:asciiTheme="minorHAnsi" w:hAnsiTheme="minorHAnsi" w:cstheme="minorHAnsi"/>
        </w:rPr>
        <w:t xml:space="preserve"> to: obtain and present evidence, including by speaking to witnesses</w:t>
      </w:r>
      <w:r w:rsidR="00FD5E2C" w:rsidRPr="0023151C">
        <w:rPr>
          <w:rFonts w:asciiTheme="minorHAnsi" w:hAnsiTheme="minorHAnsi" w:cstheme="minorHAnsi"/>
        </w:rPr>
        <w:t xml:space="preserve"> (as long as it does not constitute retaliation under this </w:t>
      </w:r>
      <w:r w:rsidR="00702CFF">
        <w:rPr>
          <w:rFonts w:asciiTheme="minorHAnsi" w:hAnsiTheme="minorHAnsi" w:cstheme="minorHAnsi"/>
        </w:rPr>
        <w:t>P</w:t>
      </w:r>
      <w:r w:rsidR="00FD5E2C" w:rsidRPr="0023151C">
        <w:rPr>
          <w:rFonts w:asciiTheme="minorHAnsi" w:hAnsiTheme="minorHAnsi" w:cstheme="minorHAnsi"/>
        </w:rPr>
        <w:t>olicy)</w:t>
      </w:r>
      <w:r w:rsidRPr="0023151C">
        <w:rPr>
          <w:rFonts w:asciiTheme="minorHAnsi" w:hAnsiTheme="minorHAnsi" w:cstheme="minorHAnsi"/>
        </w:rPr>
        <w:t xml:space="preserve">, consult with their family members, confidential resources, or </w:t>
      </w:r>
      <w:r w:rsidR="00170334">
        <w:rPr>
          <w:rFonts w:asciiTheme="minorHAnsi" w:hAnsiTheme="minorHAnsi" w:cstheme="minorHAnsi"/>
        </w:rPr>
        <w:t>A</w:t>
      </w:r>
      <w:r w:rsidRPr="0023151C">
        <w:rPr>
          <w:rFonts w:asciiTheme="minorHAnsi" w:hAnsiTheme="minorHAnsi" w:cstheme="minorHAnsi"/>
        </w:rPr>
        <w:t xml:space="preserve">dvisors; or otherwise prepare for or participate in the </w:t>
      </w:r>
      <w:r w:rsidR="00040572">
        <w:rPr>
          <w:rFonts w:asciiTheme="minorHAnsi" w:hAnsiTheme="minorHAnsi" w:cstheme="minorHAnsi"/>
        </w:rPr>
        <w:t>Resolution Process</w:t>
      </w:r>
      <w:r w:rsidRPr="0023151C">
        <w:rPr>
          <w:rFonts w:asciiTheme="minorHAnsi" w:hAnsiTheme="minorHAnsi" w:cstheme="minorHAnsi"/>
        </w:rPr>
        <w:t xml:space="preserve">. </w:t>
      </w:r>
    </w:p>
  </w:footnote>
  <w:footnote w:id="17">
    <w:p w14:paraId="26324CA3" w14:textId="60B1D921" w:rsidR="00F73B98" w:rsidRPr="0023151C" w:rsidRDefault="00F73B98" w:rsidP="00F73B98">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23151C">
        <w:rPr>
          <w:rFonts w:asciiTheme="minorHAnsi" w:hAnsiTheme="minorHAnsi" w:cstheme="minorHAnsi"/>
          <w:highlight w:val="lightGray"/>
        </w:rPr>
        <w:t xml:space="preserve">The state definition of consent is [  ], which is applicable to criminal prosecutions for sex offenses in </w:t>
      </w:r>
      <w:r w:rsidR="00DC2CEC" w:rsidRPr="0023151C">
        <w:rPr>
          <w:rFonts w:asciiTheme="minorHAnsi" w:hAnsiTheme="minorHAnsi" w:cstheme="minorHAnsi"/>
          <w:highlight w:val="lightGray"/>
        </w:rPr>
        <w:t>&lt;&lt;</w:t>
      </w:r>
      <w:r w:rsidRPr="0023151C">
        <w:rPr>
          <w:rFonts w:asciiTheme="minorHAnsi" w:hAnsiTheme="minorHAnsi" w:cstheme="minorHAnsi"/>
          <w:highlight w:val="lightGray"/>
        </w:rPr>
        <w:t>State</w:t>
      </w:r>
      <w:r w:rsidR="00DC2CEC" w:rsidRPr="0023151C">
        <w:rPr>
          <w:rFonts w:asciiTheme="minorHAnsi" w:hAnsiTheme="minorHAnsi" w:cstheme="minorHAnsi"/>
          <w:highlight w:val="lightGray"/>
        </w:rPr>
        <w:t>&gt;&gt;</w:t>
      </w:r>
      <w:r w:rsidRPr="0023151C">
        <w:rPr>
          <w:rFonts w:asciiTheme="minorHAnsi" w:hAnsiTheme="minorHAnsi" w:cstheme="minorHAnsi"/>
          <w:highlight w:val="lightGray"/>
        </w:rPr>
        <w:t xml:space="preserve"> but may differ from the definition used by the Recipient to address </w:t>
      </w:r>
      <w:r w:rsidR="00702CFF">
        <w:rPr>
          <w:rFonts w:asciiTheme="minorHAnsi" w:hAnsiTheme="minorHAnsi" w:cstheme="minorHAnsi"/>
          <w:highlight w:val="lightGray"/>
        </w:rPr>
        <w:t>P</w:t>
      </w:r>
      <w:r w:rsidRPr="0023151C">
        <w:rPr>
          <w:rFonts w:asciiTheme="minorHAnsi" w:hAnsiTheme="minorHAnsi" w:cstheme="minorHAnsi"/>
          <w:highlight w:val="lightGray"/>
        </w:rPr>
        <w:t>olicy violations. [Included for Clery/</w:t>
      </w:r>
      <w:r w:rsidR="00D804DF">
        <w:rPr>
          <w:rFonts w:asciiTheme="minorHAnsi" w:hAnsiTheme="minorHAnsi" w:cstheme="minorHAnsi"/>
          <w:highlight w:val="lightGray"/>
        </w:rPr>
        <w:t>Violence Against Women Act (</w:t>
      </w:r>
      <w:r w:rsidRPr="0023151C">
        <w:rPr>
          <w:rFonts w:asciiTheme="minorHAnsi" w:hAnsiTheme="minorHAnsi" w:cstheme="minorHAnsi"/>
          <w:highlight w:val="lightGray"/>
        </w:rPr>
        <w:t>VAWA</w:t>
      </w:r>
      <w:r w:rsidR="00D804DF">
        <w:rPr>
          <w:rFonts w:asciiTheme="minorHAnsi" w:hAnsiTheme="minorHAnsi" w:cstheme="minorHAnsi"/>
          <w:highlight w:val="lightGray"/>
        </w:rPr>
        <w:t xml:space="preserve">) </w:t>
      </w:r>
      <w:r w:rsidRPr="0023151C">
        <w:rPr>
          <w:rFonts w:asciiTheme="minorHAnsi" w:hAnsiTheme="minorHAnsi" w:cstheme="minorHAnsi"/>
          <w:highlight w:val="lightGray"/>
        </w:rPr>
        <w:t>Sec. 304 compliance purposes]</w:t>
      </w:r>
    </w:p>
  </w:footnote>
  <w:footnote w:id="18">
    <w:p w14:paraId="4EA274C6" w14:textId="0969D3BC" w:rsidR="00AA04E2" w:rsidRDefault="00AA04E2">
      <w:pPr>
        <w:pStyle w:val="FootnoteText"/>
      </w:pPr>
      <w:r>
        <w:rPr>
          <w:rStyle w:val="FootnoteReference"/>
        </w:rPr>
        <w:footnoteRef/>
      </w:r>
      <w:r>
        <w:t xml:space="preserve"> </w:t>
      </w:r>
      <w:r w:rsidRPr="00AA04E2">
        <w:t>Consent in relationships must also be considered in context. When Parties consent to BDSM (bondage, discipline, sadism, masochism) or other forms of kink, non-consent may be shown by the use of a safe word. Resistance, force, violence, or even saying “no” may be part of the kink and thus consensual.</w:t>
      </w:r>
    </w:p>
  </w:footnote>
  <w:footnote w:id="19">
    <w:p w14:paraId="3BC336DF" w14:textId="77777777" w:rsidR="00B50294" w:rsidRPr="0023151C" w:rsidRDefault="00B50294" w:rsidP="00B50294">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20 U.S.C. 1232g</w:t>
      </w:r>
    </w:p>
  </w:footnote>
  <w:footnote w:id="20">
    <w:p w14:paraId="6361DE46" w14:textId="77777777" w:rsidR="00B50294" w:rsidRPr="0023151C" w:rsidRDefault="00B50294" w:rsidP="00B50294">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34 C.F.R. § 99</w:t>
      </w:r>
    </w:p>
  </w:footnote>
  <w:footnote w:id="21">
    <w:p w14:paraId="43129989" w14:textId="77777777" w:rsidR="00115ED2" w:rsidRPr="0023151C" w:rsidRDefault="00115ED2" w:rsidP="00115ED2">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VAWA is the Violence Against Women Act, enacted in 1994 and </w:t>
      </w:r>
      <w:r w:rsidRPr="0023151C">
        <w:rPr>
          <w:rFonts w:asciiTheme="minorHAnsi" w:hAnsiTheme="minorHAnsi" w:cstheme="minorHAnsi"/>
          <w:highlight w:val="white"/>
        </w:rPr>
        <w:t>codified in part at 42 U.S.C. sections 13701 through 14040.</w:t>
      </w:r>
    </w:p>
  </w:footnote>
  <w:footnote w:id="22">
    <w:p w14:paraId="04028742" w14:textId="77777777" w:rsidR="00BB553B" w:rsidRPr="0023151C" w:rsidRDefault="00BB553B" w:rsidP="00BB553B">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For institutions with grievance processes enabling students and/or employees to challenge </w:t>
      </w:r>
      <w:r w:rsidRPr="0023151C">
        <w:rPr>
          <w:rFonts w:asciiTheme="minorHAnsi" w:hAnsiTheme="minorHAnsi" w:cstheme="minorHAnsi"/>
          <w:color w:val="4472C4" w:themeColor="accent1"/>
          <w:highlight w:val="lightGray"/>
        </w:rPr>
        <w:t>Recipient</w:t>
      </w:r>
      <w:r w:rsidRPr="0023151C">
        <w:rPr>
          <w:rFonts w:asciiTheme="minorHAnsi" w:hAnsiTheme="minorHAnsi" w:cstheme="minorHAnsi"/>
          <w:color w:val="4472C4" w:themeColor="accent1"/>
        </w:rPr>
        <w:t xml:space="preserve"> action, it is recommended that discrimination allegations be exempted from that process and replaced with the Resolution Process outlined here. Most existing grievance proceedings are neither equitable (by definition), nor are they sufficiently prompt to satisfy Title IX. Such a change may require negotiation with any affected union.</w:t>
      </w:r>
    </w:p>
  </w:footnote>
  <w:footnote w:id="23">
    <w:p w14:paraId="2519DED2" w14:textId="20012C47" w:rsidR="000D6228" w:rsidRPr="0023151C" w:rsidRDefault="000D6228">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Anywhere this procedure indicates “</w:t>
      </w:r>
      <w:r w:rsidR="00BB553B" w:rsidRPr="0023151C">
        <w:rPr>
          <w:rFonts w:asciiTheme="minorHAnsi" w:hAnsiTheme="minorHAnsi" w:cstheme="minorHAnsi"/>
          <w:color w:val="4472C4" w:themeColor="accent1"/>
          <w:highlight w:val="lightGray"/>
        </w:rPr>
        <w:t>Administrator</w:t>
      </w:r>
      <w:r w:rsidRPr="0023151C">
        <w:rPr>
          <w:rFonts w:asciiTheme="minorHAnsi" w:hAnsiTheme="minorHAnsi" w:cstheme="minorHAnsi"/>
          <w:color w:val="4472C4" w:themeColor="accent1"/>
        </w:rPr>
        <w:t xml:space="preserve">,” the </w:t>
      </w:r>
      <w:r w:rsidR="00BB553B" w:rsidRPr="00066AC0">
        <w:rPr>
          <w:rFonts w:asciiTheme="minorHAnsi" w:hAnsiTheme="minorHAnsi" w:cstheme="minorHAnsi"/>
          <w:color w:val="4472C4" w:themeColor="accent1"/>
          <w:highlight w:val="lightGray"/>
        </w:rPr>
        <w:t>Recipient</w:t>
      </w:r>
      <w:r w:rsidR="00BB553B" w:rsidRPr="0023151C">
        <w:rPr>
          <w:rFonts w:asciiTheme="minorHAnsi" w:hAnsiTheme="minorHAnsi" w:cstheme="minorHAnsi"/>
          <w:color w:val="4472C4" w:themeColor="accent1"/>
        </w:rPr>
        <w:t xml:space="preserve"> </w:t>
      </w:r>
      <w:r w:rsidRPr="0023151C">
        <w:rPr>
          <w:rFonts w:asciiTheme="minorHAnsi" w:hAnsiTheme="minorHAnsi" w:cstheme="minorHAnsi"/>
          <w:color w:val="4472C4" w:themeColor="accent1"/>
        </w:rPr>
        <w:t>may substitute a trained designee.</w:t>
      </w:r>
    </w:p>
  </w:footnote>
  <w:footnote w:id="24">
    <w:p w14:paraId="2D53DDB7" w14:textId="77777777" w:rsidR="00BB553B" w:rsidRPr="0023151C" w:rsidRDefault="00BB553B" w:rsidP="00BB553B">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Consult with qualified legal counsel on the complex interaction between the regulations and union rights under collective bargaining agreements.</w:t>
      </w:r>
    </w:p>
  </w:footnote>
  <w:footnote w:id="25">
    <w:p w14:paraId="69BF2AF0" w14:textId="3D254141" w:rsidR="00C57C06" w:rsidRPr="0023151C" w:rsidRDefault="00C57C06" w:rsidP="00C57C06">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w:t>
      </w:r>
      <w:r w:rsidRPr="0023151C">
        <w:rPr>
          <w:rFonts w:asciiTheme="minorHAnsi" w:hAnsiTheme="minorHAnsi" w:cstheme="minorHAnsi"/>
          <w:color w:val="000000"/>
        </w:rPr>
        <w:t xml:space="preserve">If circumstances require, the </w:t>
      </w:r>
      <w:r w:rsidRPr="0023151C">
        <w:rPr>
          <w:rFonts w:asciiTheme="minorHAnsi" w:hAnsiTheme="minorHAnsi" w:cstheme="minorHAnsi"/>
          <w:color w:val="000000"/>
          <w:shd w:val="clear" w:color="auto" w:fill="CCCCCC"/>
        </w:rPr>
        <w:t>President</w:t>
      </w:r>
      <w:r w:rsidRPr="0023151C">
        <w:rPr>
          <w:rFonts w:asciiTheme="minorHAnsi" w:hAnsiTheme="minorHAnsi" w:cstheme="minorHAnsi"/>
          <w:color w:val="000000"/>
        </w:rPr>
        <w:t xml:space="preserve"> or </w:t>
      </w:r>
      <w:r w:rsidRPr="0023151C">
        <w:rPr>
          <w:rFonts w:asciiTheme="minorHAnsi" w:hAnsiTheme="minorHAnsi" w:cstheme="minorHAnsi"/>
          <w:color w:val="000000"/>
          <w:highlight w:val="lightGray"/>
        </w:rPr>
        <w:t>Administrator</w:t>
      </w:r>
      <w:r w:rsidRPr="0023151C">
        <w:rPr>
          <w:rFonts w:asciiTheme="minorHAnsi" w:hAnsiTheme="minorHAnsi" w:cstheme="minorHAnsi"/>
          <w:color w:val="000000"/>
        </w:rPr>
        <w:t xml:space="preserve"> will designate another person to oversee the Resolution Process should an allegation be made about the </w:t>
      </w:r>
      <w:r w:rsidRPr="0023151C">
        <w:rPr>
          <w:rFonts w:asciiTheme="minorHAnsi" w:hAnsiTheme="minorHAnsi" w:cstheme="minorHAnsi"/>
          <w:color w:val="000000"/>
          <w:highlight w:val="lightGray"/>
        </w:rPr>
        <w:t>Administrator</w:t>
      </w:r>
      <w:r w:rsidRPr="0023151C">
        <w:rPr>
          <w:rFonts w:asciiTheme="minorHAnsi" w:hAnsiTheme="minorHAnsi" w:cstheme="minorHAnsi"/>
          <w:color w:val="000000"/>
        </w:rPr>
        <w:t xml:space="preserve"> or the </w:t>
      </w:r>
      <w:r w:rsidRPr="0023151C">
        <w:rPr>
          <w:rFonts w:asciiTheme="minorHAnsi" w:hAnsiTheme="minorHAnsi" w:cstheme="minorHAnsi"/>
          <w:color w:val="000000"/>
          <w:highlight w:val="lightGray"/>
        </w:rPr>
        <w:t>Administrator</w:t>
      </w:r>
      <w:r w:rsidRPr="0023151C">
        <w:rPr>
          <w:rFonts w:asciiTheme="minorHAnsi" w:hAnsiTheme="minorHAnsi" w:cstheme="minorHAnsi"/>
          <w:color w:val="000000"/>
        </w:rPr>
        <w:t xml:space="preserve"> be otherwise unavailable</w:t>
      </w:r>
      <w:r w:rsidRPr="0023151C">
        <w:rPr>
          <w:rFonts w:asciiTheme="minorHAnsi" w:hAnsiTheme="minorHAnsi" w:cstheme="minorHAnsi"/>
        </w:rPr>
        <w:t xml:space="preserve">, </w:t>
      </w:r>
      <w:r w:rsidRPr="0023151C">
        <w:rPr>
          <w:rFonts w:asciiTheme="minorHAnsi" w:hAnsiTheme="minorHAnsi" w:cstheme="minorHAnsi"/>
          <w:color w:val="000000"/>
        </w:rPr>
        <w:t>unable to fulfill their duties, or have a conflict of interest.</w:t>
      </w:r>
    </w:p>
  </w:footnote>
  <w:footnote w:id="26">
    <w:p w14:paraId="05595F81" w14:textId="36C2BDFD" w:rsidR="007D677C" w:rsidRPr="0023151C" w:rsidRDefault="007D677C">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See detailed information regarding a Violence Risk Assessment in </w:t>
      </w:r>
      <w:hyperlink w:anchor="_APPENDIX_G:_VIOLENCE" w:history="1">
        <w:r w:rsidRPr="00685BA9">
          <w:rPr>
            <w:rStyle w:val="Hyperlink"/>
            <w:rFonts w:asciiTheme="minorHAnsi" w:hAnsiTheme="minorHAnsi" w:cstheme="minorHAnsi"/>
          </w:rPr>
          <w:t>Appendix</w:t>
        </w:r>
        <w:r w:rsidR="00827588">
          <w:rPr>
            <w:rStyle w:val="Hyperlink"/>
            <w:rFonts w:asciiTheme="minorHAnsi" w:hAnsiTheme="minorHAnsi" w:cstheme="minorHAnsi"/>
          </w:rPr>
          <w:t xml:space="preserve"> G</w:t>
        </w:r>
      </w:hyperlink>
    </w:p>
  </w:footnote>
  <w:footnote w:id="27">
    <w:p w14:paraId="233024F7" w14:textId="72AD61BB" w:rsidR="000D6228" w:rsidRPr="0023151C" w:rsidRDefault="000D6228" w:rsidP="002D22F0">
      <w:pPr>
        <w:rPr>
          <w:rFonts w:asciiTheme="minorHAnsi" w:hAnsiTheme="minorHAnsi" w:cstheme="minorHAnsi"/>
          <w:sz w:val="20"/>
          <w:szCs w:val="20"/>
        </w:rPr>
      </w:pPr>
      <w:r w:rsidRPr="0023151C">
        <w:rPr>
          <w:rStyle w:val="FootnoteReference"/>
          <w:rFonts w:asciiTheme="minorHAnsi" w:hAnsiTheme="minorHAnsi" w:cstheme="minorHAnsi"/>
          <w:sz w:val="20"/>
          <w:szCs w:val="20"/>
        </w:rPr>
        <w:footnoteRef/>
      </w:r>
      <w:r w:rsidRPr="0023151C">
        <w:rPr>
          <w:rFonts w:asciiTheme="minorHAnsi" w:hAnsiTheme="minorHAnsi" w:cstheme="minorHAnsi"/>
          <w:sz w:val="20"/>
          <w:szCs w:val="20"/>
        </w:rPr>
        <w:t xml:space="preserve"> “Available” means the party cannot insist on an Advisor who simply doesn’t have inclination, time, or availability. Also, the Advisor cannot have institutionally conflicting roles, such as being a</w:t>
      </w:r>
      <w:r w:rsidR="003E515C" w:rsidRPr="0023151C">
        <w:rPr>
          <w:rFonts w:asciiTheme="minorHAnsi" w:hAnsiTheme="minorHAnsi" w:cstheme="minorHAnsi"/>
          <w:sz w:val="20"/>
          <w:szCs w:val="20"/>
        </w:rPr>
        <w:t>n</w:t>
      </w:r>
      <w:r w:rsidR="00BA3599" w:rsidRPr="0023151C">
        <w:rPr>
          <w:rFonts w:asciiTheme="minorHAnsi" w:hAnsiTheme="minorHAnsi" w:cstheme="minorHAnsi"/>
          <w:sz w:val="20"/>
          <w:szCs w:val="20"/>
        </w:rPr>
        <w:t xml:space="preserve"> </w:t>
      </w:r>
      <w:r w:rsidRPr="0023151C">
        <w:rPr>
          <w:rFonts w:asciiTheme="minorHAnsi" w:hAnsiTheme="minorHAnsi" w:cstheme="minorHAnsi"/>
          <w:sz w:val="20"/>
          <w:szCs w:val="20"/>
        </w:rPr>
        <w:t>administrator who has an active role in the matter, or a supervisor who must monitor and implement sanctions.</w:t>
      </w:r>
      <w:r w:rsidR="002D22F0" w:rsidRPr="0023151C">
        <w:rPr>
          <w:rFonts w:asciiTheme="minorHAnsi" w:hAnsiTheme="minorHAnsi" w:cstheme="minorHAnsi"/>
          <w:sz w:val="20"/>
          <w:szCs w:val="20"/>
        </w:rPr>
        <w:t xml:space="preserve"> Additionally, choosing an Advisor who is also a witness in the process creates potential for bias and conflicts of interest. A party who chooses an Advisor who is also a witness can anticipate that issues of potential bias will be explored by the Decision-maker(s).</w:t>
      </w:r>
    </w:p>
  </w:footnote>
  <w:footnote w:id="28">
    <w:p w14:paraId="3D03F286" w14:textId="63E784B5" w:rsidR="00F40EE3" w:rsidRDefault="00F40EE3">
      <w:pPr>
        <w:pStyle w:val="FootnoteText"/>
      </w:pPr>
      <w:r>
        <w:rPr>
          <w:rStyle w:val="FootnoteReference"/>
        </w:rPr>
        <w:footnoteRef/>
      </w:r>
      <w:r>
        <w:t xml:space="preserve"> </w:t>
      </w:r>
      <w:hyperlink w:anchor="Section20" w:history="1">
        <w:r w:rsidRPr="00AD5EE5">
          <w:rPr>
            <w:rStyle w:val="Hyperlink"/>
          </w:rPr>
          <w:t>Section 20</w:t>
        </w:r>
      </w:hyperlink>
      <w:r w:rsidRPr="00F40EE3">
        <w:t xml:space="preserve"> below, there is a description of a process to waive the decision-making step of the Resolution Process if a Respondent decides to admit to violating the charged Policies. That section and this one are similar, but there </w:t>
      </w:r>
      <w:r w:rsidR="00F4467C">
        <w:t xml:space="preserve">are </w:t>
      </w:r>
      <w:r w:rsidRPr="00F40EE3">
        <w:t xml:space="preserve">meaningful differences. In this section, the Parties must agree to the resolution, and the Respondent in essence self-sanctions as part of the Informal Resolution by agreeing to voluntarily comply with whatever the terms are to which the Parties agree. Section 20, in contrast, is unilateral. Neither the Complainant nor the </w:t>
      </w:r>
      <w:r w:rsidRPr="00AF4053">
        <w:rPr>
          <w:highlight w:val="lightGray"/>
        </w:rPr>
        <w:t>Administrator</w:t>
      </w:r>
      <w:r w:rsidRPr="00F40EE3">
        <w:t xml:space="preserve"> determine eligibility. It is simply a waiver of steps in the process by the Respondent, who can admit violations and accept sanctions assigned by the Decision-maker, if they choose to. No Complainant approval is sought or needed. Under Section 20, the outcome involves sanctioning imposed by the </w:t>
      </w:r>
      <w:r w:rsidRPr="00066AC0">
        <w:rPr>
          <w:highlight w:val="lightGray"/>
        </w:rPr>
        <w:t>Recipient</w:t>
      </w:r>
      <w:r w:rsidRPr="00F40EE3">
        <w:t>, rather than an agreement to self-sanction, as outlined in this section.</w:t>
      </w:r>
    </w:p>
  </w:footnote>
  <w:footnote w:id="29">
    <w:p w14:paraId="47B0A332" w14:textId="3FB55120" w:rsidR="009F5000" w:rsidRPr="0023151C" w:rsidRDefault="009F5000" w:rsidP="009F5000">
      <w:pPr>
        <w:pStyle w:val="FootnoteText"/>
        <w:rPr>
          <w:rFonts w:asciiTheme="minorHAnsi" w:hAnsiTheme="minorHAnsi" w:cstheme="minorHAnsi"/>
        </w:rPr>
      </w:pPr>
      <w:r w:rsidRPr="00222FE6">
        <w:rPr>
          <w:rStyle w:val="FootnoteReference"/>
          <w:rFonts w:asciiTheme="minorHAnsi" w:hAnsiTheme="minorHAnsi" w:cstheme="minorHAnsi"/>
          <w:color w:val="4472C4" w:themeColor="accent1"/>
        </w:rPr>
        <w:footnoteRef/>
      </w:r>
      <w:r w:rsidRPr="00222FE6">
        <w:rPr>
          <w:rFonts w:asciiTheme="minorHAnsi" w:hAnsiTheme="minorHAnsi" w:cstheme="minorHAnsi"/>
          <w:color w:val="4472C4" w:themeColor="accent1"/>
        </w:rPr>
        <w:t xml:space="preserve"> The </w:t>
      </w:r>
      <w:r w:rsidR="0028631C" w:rsidRPr="00222FE6">
        <w:rPr>
          <w:rFonts w:asciiTheme="minorHAnsi" w:hAnsiTheme="minorHAnsi" w:cstheme="minorHAnsi"/>
          <w:color w:val="4472C4" w:themeColor="accent1"/>
        </w:rPr>
        <w:t>Parties</w:t>
      </w:r>
      <w:r w:rsidRPr="00222FE6">
        <w:rPr>
          <w:rFonts w:asciiTheme="minorHAnsi" w:hAnsiTheme="minorHAnsi" w:cstheme="minorHAnsi"/>
          <w:color w:val="4472C4" w:themeColor="accent1"/>
        </w:rPr>
        <w:t xml:space="preserve"> may not want discussions that take place within Informal Resolution to be admissible in a later </w:t>
      </w:r>
      <w:r w:rsidR="00C63114" w:rsidRPr="00222FE6">
        <w:rPr>
          <w:rFonts w:asciiTheme="minorHAnsi" w:hAnsiTheme="minorHAnsi" w:cstheme="minorHAnsi"/>
          <w:color w:val="4472C4" w:themeColor="accent1"/>
        </w:rPr>
        <w:t>Resolution</w:t>
      </w:r>
      <w:r w:rsidRPr="00222FE6">
        <w:rPr>
          <w:rFonts w:asciiTheme="minorHAnsi" w:hAnsiTheme="minorHAnsi" w:cstheme="minorHAnsi"/>
          <w:color w:val="4472C4" w:themeColor="accent1"/>
        </w:rPr>
        <w:t xml:space="preserve"> Process, but essential facts must and do transfer from the informal process to </w:t>
      </w:r>
      <w:r w:rsidR="00FB5B04" w:rsidRPr="00222FE6">
        <w:rPr>
          <w:rFonts w:asciiTheme="minorHAnsi" w:hAnsiTheme="minorHAnsi" w:cstheme="minorHAnsi"/>
          <w:color w:val="4472C4" w:themeColor="accent1"/>
        </w:rPr>
        <w:t>subsequent resolution proceedings</w:t>
      </w:r>
      <w:r w:rsidRPr="00222FE6">
        <w:rPr>
          <w:rFonts w:asciiTheme="minorHAnsi" w:hAnsiTheme="minorHAnsi" w:cstheme="minorHAnsi"/>
          <w:color w:val="4472C4" w:themeColor="accent1"/>
        </w:rPr>
        <w:t>. Disclosing something in an informal setting to shield it from formal admissibility is a cynical strategy, so administrators should take care in determining the terms of any assurances of the confidentiality of the Informal Resolution.</w:t>
      </w:r>
    </w:p>
  </w:footnote>
  <w:footnote w:id="30">
    <w:p w14:paraId="531E4820" w14:textId="22CF2472" w:rsidR="00C27C60" w:rsidRPr="0023151C" w:rsidRDefault="00C27C60" w:rsidP="00C27C60">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External, trained third-party neutral professionals may also be used to serve in </w:t>
      </w:r>
      <w:r w:rsidRPr="0023151C">
        <w:rPr>
          <w:rFonts w:asciiTheme="minorHAnsi" w:hAnsiTheme="minorHAnsi" w:cstheme="minorHAnsi"/>
          <w:highlight w:val="lightGray"/>
        </w:rPr>
        <w:t>Pool</w:t>
      </w:r>
      <w:r w:rsidRPr="0023151C">
        <w:rPr>
          <w:rFonts w:asciiTheme="minorHAnsi" w:hAnsiTheme="minorHAnsi" w:cstheme="minorHAnsi"/>
        </w:rPr>
        <w:t xml:space="preserve"> roles.</w:t>
      </w:r>
    </w:p>
  </w:footnote>
  <w:footnote w:id="31">
    <w:p w14:paraId="50543C05" w14:textId="15540BFD" w:rsidR="00C27C60" w:rsidRPr="0023151C" w:rsidRDefault="00C27C60" w:rsidP="00C27C60">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This does not preclude the </w:t>
      </w:r>
      <w:r w:rsidRPr="0023151C">
        <w:rPr>
          <w:rFonts w:asciiTheme="minorHAnsi" w:hAnsiTheme="minorHAnsi" w:cstheme="minorHAnsi"/>
          <w:color w:val="4472C4" w:themeColor="accent1"/>
          <w:highlight w:val="lightGray"/>
        </w:rPr>
        <w:t>Recipient</w:t>
      </w:r>
      <w:r w:rsidRPr="0023151C">
        <w:rPr>
          <w:rFonts w:asciiTheme="minorHAnsi" w:hAnsiTheme="minorHAnsi" w:cstheme="minorHAnsi"/>
          <w:color w:val="4472C4" w:themeColor="accent1"/>
        </w:rPr>
        <w:t xml:space="preserve"> from having all members of the Pool go through an application and/or interview/selection process.</w:t>
      </w:r>
    </w:p>
  </w:footnote>
  <w:footnote w:id="32">
    <w:p w14:paraId="65B33BDD" w14:textId="186F7CEB" w:rsidR="00521368" w:rsidRDefault="00521368">
      <w:pPr>
        <w:pStyle w:val="FootnoteText"/>
      </w:pPr>
      <w:r>
        <w:rPr>
          <w:rStyle w:val="FootnoteReference"/>
        </w:rPr>
        <w:footnoteRef/>
      </w:r>
      <w:r>
        <w:t xml:space="preserve"> The choice of a single Decision-maker or panel should generally be consistent for the same types of </w:t>
      </w:r>
      <w:r w:rsidR="0057733F">
        <w:t>Complaint</w:t>
      </w:r>
      <w:r>
        <w:t xml:space="preserve">s, and not vary </w:t>
      </w:r>
      <w:r w:rsidR="0057733F">
        <w:t>Complaint</w:t>
      </w:r>
      <w:r>
        <w:t>-by-</w:t>
      </w:r>
      <w:r w:rsidR="0057733F">
        <w:t>Complaint</w:t>
      </w:r>
      <w:r>
        <w:t xml:space="preserve">. </w:t>
      </w:r>
    </w:p>
  </w:footnote>
  <w:footnote w:id="33">
    <w:p w14:paraId="68A74726" w14:textId="29F61F0E" w:rsidR="00447DC3" w:rsidRPr="0023151C" w:rsidRDefault="00447DC3" w:rsidP="00447DC3">
      <w:pPr>
        <w:pStyle w:val="FootnoteText"/>
        <w:rPr>
          <w:rFonts w:asciiTheme="minorHAnsi" w:hAnsiTheme="minorHAnsi" w:cstheme="minorHAnsi"/>
        </w:rPr>
      </w:pPr>
      <w:r w:rsidRPr="00AD5EE5">
        <w:rPr>
          <w:rStyle w:val="FootnoteReference"/>
          <w:rFonts w:asciiTheme="minorHAnsi" w:hAnsiTheme="minorHAnsi" w:cstheme="minorHAnsi"/>
          <w:color w:val="4472C4" w:themeColor="accent1"/>
        </w:rPr>
        <w:footnoteRef/>
      </w:r>
      <w:r w:rsidRPr="00AD5EE5">
        <w:rPr>
          <w:rFonts w:asciiTheme="minorHAnsi" w:hAnsiTheme="minorHAnsi" w:cstheme="minorHAnsi"/>
          <w:color w:val="4472C4" w:themeColor="accent1"/>
        </w:rPr>
        <w:t xml:space="preserve"> Recipient policies on transcript notation apply to these proceedings.</w:t>
      </w:r>
    </w:p>
  </w:footnote>
  <w:footnote w:id="34">
    <w:p w14:paraId="1449B8C5" w14:textId="0CCB7DDA" w:rsidR="00447DC3" w:rsidRPr="0023151C" w:rsidRDefault="00447DC3" w:rsidP="00447DC3">
      <w:pPr>
        <w:pStyle w:val="FootnoteText"/>
        <w:rPr>
          <w:rFonts w:asciiTheme="minorHAnsi" w:hAnsiTheme="minorHAnsi" w:cstheme="minorHAnsi"/>
        </w:rPr>
      </w:pPr>
      <w:r w:rsidRPr="0023151C">
        <w:rPr>
          <w:rStyle w:val="FootnoteReference"/>
          <w:rFonts w:asciiTheme="minorHAnsi" w:hAnsiTheme="minorHAnsi" w:cstheme="minorHAnsi"/>
          <w:color w:val="4472C4" w:themeColor="accent1"/>
        </w:rPr>
        <w:footnoteRef/>
      </w:r>
      <w:r w:rsidRPr="0023151C">
        <w:rPr>
          <w:rFonts w:asciiTheme="minorHAnsi" w:hAnsiTheme="minorHAnsi" w:cstheme="minorHAnsi"/>
          <w:color w:val="4472C4" w:themeColor="accent1"/>
        </w:rPr>
        <w:t xml:space="preserve"> Subject to </w:t>
      </w:r>
      <w:r w:rsidRPr="00066AC0">
        <w:rPr>
          <w:rFonts w:asciiTheme="minorHAnsi" w:hAnsiTheme="minorHAnsi" w:cstheme="minorHAnsi"/>
          <w:color w:val="4472C4" w:themeColor="accent1"/>
          <w:highlight w:val="lightGray"/>
        </w:rPr>
        <w:t>Recipient</w:t>
      </w:r>
      <w:r w:rsidRPr="0023151C">
        <w:rPr>
          <w:rFonts w:asciiTheme="minorHAnsi" w:hAnsiTheme="minorHAnsi" w:cstheme="minorHAnsi"/>
          <w:color w:val="4472C4" w:themeColor="accent1"/>
        </w:rPr>
        <w:t>’s Organizational Code of Conduct.</w:t>
      </w:r>
      <w:r w:rsidR="006856F8">
        <w:rPr>
          <w:rFonts w:asciiTheme="minorHAnsi" w:hAnsiTheme="minorHAnsi" w:cstheme="minorHAnsi"/>
          <w:color w:val="4472C4" w:themeColor="accent1"/>
        </w:rPr>
        <w:t xml:space="preserve"> Organizational sanctions are included here despite the fact that organizations cannot be charged as Respondents under Title IX. However, nothing would prevent a recipient from holding a student organization accountable for Policy violations using the Resolution Processes herein, as long as it was clearly noted that Title IX was not applicable. Often, individuals will be charged for their role in organizational misconduct under Title IX, and the organization would be charged as collateral misconduct to the individual charges, resolved in the same process as those charges. </w:t>
      </w:r>
    </w:p>
  </w:footnote>
  <w:footnote w:id="35">
    <w:p w14:paraId="2BFED09F" w14:textId="4BEAD0AE" w:rsidR="00204659" w:rsidRPr="0023151C" w:rsidRDefault="00204659" w:rsidP="00204659">
      <w:pPr>
        <w:pStyle w:val="FootnoteText"/>
        <w:rPr>
          <w:rFonts w:asciiTheme="minorHAnsi" w:hAnsiTheme="minorHAnsi" w:cstheme="minorHAnsi"/>
        </w:rPr>
      </w:pPr>
      <w:r w:rsidRPr="0023151C">
        <w:rPr>
          <w:rStyle w:val="FootnoteReference"/>
          <w:rFonts w:asciiTheme="minorHAnsi" w:hAnsiTheme="minorHAnsi" w:cstheme="minorHAnsi"/>
        </w:rPr>
        <w:footnoteRef/>
      </w:r>
      <w:r w:rsidRPr="0023151C">
        <w:rPr>
          <w:rFonts w:asciiTheme="minorHAnsi" w:hAnsiTheme="minorHAnsi" w:cstheme="minorHAnsi"/>
        </w:rPr>
        <w:t xml:space="preserve"> A model record maintenance and access policy can be </w:t>
      </w:r>
      <w:r w:rsidRPr="00685BA9">
        <w:rPr>
          <w:rFonts w:asciiTheme="minorHAnsi" w:hAnsiTheme="minorHAnsi" w:cstheme="minorHAnsi"/>
        </w:rPr>
        <w:t xml:space="preserve">found in </w:t>
      </w:r>
      <w:hyperlink w:anchor="_APPENDIX_I:_ATIXA" w:history="1">
        <w:r w:rsidR="00D43CDA" w:rsidRPr="00685BA9">
          <w:rPr>
            <w:rStyle w:val="Hyperlink"/>
          </w:rPr>
          <w:t xml:space="preserve">Appendix </w:t>
        </w:r>
        <w:r w:rsidR="00343EF8" w:rsidRPr="00685BA9">
          <w:rPr>
            <w:rStyle w:val="Hyperlink"/>
          </w:rPr>
          <w:t>I</w:t>
        </w:r>
      </w:hyperlink>
      <w:r w:rsidRPr="00685BA9">
        <w:rPr>
          <w:rFonts w:asciiTheme="minorHAnsi" w:hAnsiTheme="minorHAnsi" w:cstheme="minorHAnsi"/>
        </w:rPr>
        <w:t>.</w:t>
      </w:r>
    </w:p>
  </w:footnote>
  <w:footnote w:id="36">
    <w:p w14:paraId="34201A68" w14:textId="77777777" w:rsidR="00901191" w:rsidRDefault="00901191" w:rsidP="00901191">
      <w:pPr>
        <w:pStyle w:val="FootnoteText"/>
      </w:pPr>
      <w:r>
        <w:rPr>
          <w:rStyle w:val="FootnoteReference"/>
        </w:rPr>
        <w:footnoteRef/>
      </w:r>
      <w:r>
        <w:t xml:space="preserve"> </w:t>
      </w:r>
      <w:r w:rsidRPr="00A064EB">
        <w:t xml:space="preserve">Not to be confused with those mandated by state law to report child abuse, elder abuse, and/or abuse of </w:t>
      </w:r>
      <w:r>
        <w:t>persons</w:t>
      </w:r>
      <w:r w:rsidRPr="00A064EB">
        <w:t xml:space="preserve"> with disabilities to appropriate officials, though these responsibilities may overlap with those who have mandated reporting responsibility </w:t>
      </w:r>
      <w:r>
        <w:t>under</w:t>
      </w:r>
      <w:r w:rsidRPr="00A064EB">
        <w:t xml:space="preserve"> this Policy.</w:t>
      </w:r>
    </w:p>
  </w:footnote>
  <w:footnote w:id="37">
    <w:p w14:paraId="4EA1E67D" w14:textId="77777777" w:rsidR="00901191" w:rsidRDefault="00901191" w:rsidP="00901191">
      <w:pPr>
        <w:pStyle w:val="FootnoteText"/>
      </w:pPr>
      <w:r>
        <w:rPr>
          <w:rStyle w:val="FootnoteReference"/>
        </w:rPr>
        <w:footnoteRef/>
      </w:r>
      <w:r>
        <w:t xml:space="preserve"> The </w:t>
      </w:r>
      <w:r w:rsidRPr="005244F9">
        <w:rPr>
          <w:highlight w:val="lightGray"/>
        </w:rPr>
        <w:t>Administrator</w:t>
      </w:r>
      <w:r>
        <w:t xml:space="preserve"> designated to receive information from Mandated Reporters may vary depending upon the type of alleged discrimination, harassment, or retaliation (e.g., on the basis of sex, on the basis of race, on the basis of disability).</w:t>
      </w:r>
    </w:p>
  </w:footnote>
  <w:footnote w:id="38">
    <w:p w14:paraId="34143A07" w14:textId="77777777" w:rsidR="00901191" w:rsidRDefault="00901191" w:rsidP="00901191">
      <w:pPr>
        <w:pStyle w:val="FootnoteText"/>
      </w:pPr>
      <w:r w:rsidRPr="005244F9">
        <w:rPr>
          <w:rStyle w:val="FootnoteReference"/>
          <w:color w:val="4472C4" w:themeColor="accent1"/>
        </w:rPr>
        <w:footnoteRef/>
      </w:r>
      <w:r w:rsidRPr="005244F9">
        <w:rPr>
          <w:color w:val="4472C4" w:themeColor="accent1"/>
        </w:rPr>
        <w:t xml:space="preserve"> </w:t>
      </w:r>
      <w:r>
        <w:rPr>
          <w:color w:val="4472C4" w:themeColor="accent1"/>
        </w:rPr>
        <w:t>A</w:t>
      </w:r>
      <w:r w:rsidRPr="005244F9">
        <w:rPr>
          <w:color w:val="4472C4" w:themeColor="accent1"/>
        </w:rPr>
        <w:t>ppl</w:t>
      </w:r>
      <w:r>
        <w:rPr>
          <w:color w:val="4472C4" w:themeColor="accent1"/>
        </w:rPr>
        <w:t>ies</w:t>
      </w:r>
      <w:r w:rsidRPr="005244F9">
        <w:rPr>
          <w:color w:val="4472C4" w:themeColor="accent1"/>
        </w:rPr>
        <w:t xml:space="preserve"> only if using an Advisor-led questioning model.</w:t>
      </w:r>
    </w:p>
  </w:footnote>
  <w:footnote w:id="39">
    <w:p w14:paraId="0702F89C" w14:textId="77777777" w:rsidR="00901191" w:rsidRDefault="00901191" w:rsidP="00901191">
      <w:pPr>
        <w:pStyle w:val="FootnoteText"/>
      </w:pPr>
      <w:r>
        <w:rPr>
          <w:rStyle w:val="FootnoteReference"/>
        </w:rPr>
        <w:footnoteRef/>
      </w:r>
      <w:r>
        <w:t xml:space="preserve"> Hard-copy materials may be provided upon request to the </w:t>
      </w:r>
      <w:r w:rsidRPr="005244F9">
        <w:rPr>
          <w:highlight w:val="lightGray"/>
        </w:rPr>
        <w:t>Administrator</w:t>
      </w:r>
      <w:r>
        <w:t xml:space="preserve">. </w:t>
      </w:r>
      <w:r w:rsidRPr="00677D7C">
        <w:t xml:space="preserve">The Final Investigation Report </w:t>
      </w:r>
      <w:r>
        <w:t xml:space="preserve">and relevant evidence </w:t>
      </w:r>
      <w:r w:rsidRPr="00677D7C">
        <w:t>may be shared using electronic means that preclude downloading, forwarding, or otherwise sharing.</w:t>
      </w:r>
    </w:p>
  </w:footnote>
  <w:footnote w:id="40">
    <w:p w14:paraId="180838E3" w14:textId="77777777" w:rsidR="00901191" w:rsidRDefault="00901191" w:rsidP="00901191">
      <w:pPr>
        <w:pStyle w:val="FootnoteText"/>
      </w:pPr>
      <w:r w:rsidRPr="005244F9">
        <w:rPr>
          <w:rStyle w:val="FootnoteReference"/>
          <w:color w:val="0070C0"/>
        </w:rPr>
        <w:footnoteRef/>
      </w:r>
      <w:r w:rsidRPr="005244F9">
        <w:rPr>
          <w:color w:val="0070C0"/>
        </w:rPr>
        <w:t xml:space="preserve"> </w:t>
      </w:r>
      <w:r>
        <w:rPr>
          <w:color w:val="0070C0"/>
        </w:rPr>
        <w:t>A</w:t>
      </w:r>
      <w:r w:rsidRPr="005244F9">
        <w:rPr>
          <w:color w:val="0070C0"/>
        </w:rPr>
        <w:t xml:space="preserve">ppendix </w:t>
      </w:r>
      <w:r>
        <w:rPr>
          <w:color w:val="0070C0"/>
        </w:rPr>
        <w:t xml:space="preserve">C </w:t>
      </w:r>
      <w:r w:rsidRPr="005244F9">
        <w:rPr>
          <w:color w:val="0070C0"/>
        </w:rPr>
        <w:t xml:space="preserve">is not </w:t>
      </w:r>
      <w:r>
        <w:rPr>
          <w:color w:val="0070C0"/>
        </w:rPr>
        <w:t xml:space="preserve">intended </w:t>
      </w:r>
      <w:r w:rsidRPr="005244F9">
        <w:rPr>
          <w:color w:val="0070C0"/>
        </w:rPr>
        <w:t>for publication</w:t>
      </w:r>
      <w:r>
        <w:rPr>
          <w:color w:val="0070C0"/>
        </w:rPr>
        <w:t xml:space="preserve">. It is offered </w:t>
      </w:r>
      <w:r w:rsidRPr="005244F9">
        <w:rPr>
          <w:color w:val="0070C0"/>
        </w:rPr>
        <w:t xml:space="preserve">as an internal guide for administrators and IR facilitators. </w:t>
      </w:r>
    </w:p>
  </w:footnote>
  <w:footnote w:id="41">
    <w:p w14:paraId="0E7B297F" w14:textId="77777777" w:rsidR="00901191" w:rsidRDefault="00901191" w:rsidP="00901191">
      <w:pPr>
        <w:pStyle w:val="FootnoteText"/>
      </w:pPr>
      <w:r w:rsidRPr="005244F9">
        <w:rPr>
          <w:rStyle w:val="FootnoteReference"/>
          <w:color w:val="0070C0"/>
        </w:rPr>
        <w:footnoteRef/>
      </w:r>
      <w:r w:rsidRPr="005244F9">
        <w:rPr>
          <w:color w:val="0070C0"/>
        </w:rPr>
        <w:t xml:space="preserve"> </w:t>
      </w:r>
      <w:r>
        <w:rPr>
          <w:color w:val="0070C0"/>
        </w:rPr>
        <w:t>Appendix F</w:t>
      </w:r>
      <w:r w:rsidRPr="005244F9">
        <w:rPr>
          <w:color w:val="0070C0"/>
        </w:rPr>
        <w:t xml:space="preserve"> is </w:t>
      </w:r>
      <w:r>
        <w:rPr>
          <w:color w:val="0070C0"/>
        </w:rPr>
        <w:t>optional</w:t>
      </w:r>
      <w:r w:rsidRPr="005244F9">
        <w:rPr>
          <w:color w:val="0070C0"/>
        </w:rPr>
        <w:t xml:space="preserve">, as some institutions prefer to include this </w:t>
      </w:r>
      <w:r>
        <w:rPr>
          <w:color w:val="0070C0"/>
        </w:rPr>
        <w:t>statement</w:t>
      </w:r>
      <w:r w:rsidRPr="005244F9">
        <w:rPr>
          <w:color w:val="0070C0"/>
        </w:rPr>
        <w:t xml:space="preserve"> elsewhere, such as a faculty handbook or employee manual. We include it here to inform students, not just employees, of our expectations. Regardless, violation of this </w:t>
      </w:r>
      <w:r>
        <w:rPr>
          <w:color w:val="0070C0"/>
        </w:rPr>
        <w:t>P</w:t>
      </w:r>
      <w:r w:rsidRPr="005244F9">
        <w:rPr>
          <w:color w:val="0070C0"/>
        </w:rPr>
        <w:t>olicy is a Human Resources/Employee Relations matter and should not be addressed under this Resolution Process unless the elements of the definition of harassment are met.</w:t>
      </w:r>
    </w:p>
  </w:footnote>
  <w:footnote w:id="42">
    <w:p w14:paraId="25F39620" w14:textId="77777777" w:rsidR="00901191" w:rsidRDefault="00901191" w:rsidP="00901191">
      <w:pPr>
        <w:pStyle w:val="FootnoteText"/>
      </w:pPr>
      <w:r>
        <w:rPr>
          <w:rStyle w:val="FootnoteReference"/>
        </w:rPr>
        <w:footnoteRef/>
      </w:r>
      <w:r>
        <w:t xml:space="preserve"> </w:t>
      </w:r>
      <w:hyperlink r:id="rId2" w:history="1">
        <w:r w:rsidRPr="00D10EBC">
          <w:rPr>
            <w:rStyle w:val="Hyperlink"/>
          </w:rPr>
          <w:t>https://www.nabita.org/training/nabita-risk-rubric/</w:t>
        </w:r>
      </w:hyperlink>
    </w:p>
  </w:footnote>
  <w:footnote w:id="43">
    <w:p w14:paraId="0CD30AD1" w14:textId="77777777" w:rsidR="00901191" w:rsidRDefault="00901191" w:rsidP="00901191">
      <w:pPr>
        <w:pStyle w:val="FootnoteText"/>
      </w:pPr>
      <w:r>
        <w:rPr>
          <w:rStyle w:val="FootnoteReference"/>
        </w:rPr>
        <w:footnoteRef/>
      </w:r>
      <w:r>
        <w:t xml:space="preserve"> </w:t>
      </w:r>
      <w:hyperlink r:id="rId3" w:history="1">
        <w:r w:rsidRPr="00D10EBC">
          <w:rPr>
            <w:rStyle w:val="Hyperlink"/>
          </w:rPr>
          <w:t>https://www.nabita.org/training/sivra-35/</w:t>
        </w:r>
      </w:hyperlink>
    </w:p>
  </w:footnote>
  <w:footnote w:id="44">
    <w:p w14:paraId="1752A874" w14:textId="77777777" w:rsidR="00901191" w:rsidRDefault="00901191" w:rsidP="00901191">
      <w:pPr>
        <w:pStyle w:val="FootnoteText"/>
      </w:pPr>
      <w:r>
        <w:rPr>
          <w:rStyle w:val="FootnoteReference"/>
        </w:rPr>
        <w:footnoteRef/>
      </w:r>
      <w:r>
        <w:t xml:space="preserve"> </w:t>
      </w:r>
      <w:hyperlink r:id="rId4" w:history="1">
        <w:r w:rsidRPr="00B278EF">
          <w:rPr>
            <w:rStyle w:val="Hyperlink"/>
          </w:rPr>
          <w:t>https://www.nabita.org/training/vraww/</w:t>
        </w:r>
      </w:hyperlink>
    </w:p>
  </w:footnote>
  <w:footnote w:id="45">
    <w:p w14:paraId="59152A47" w14:textId="77777777" w:rsidR="00901191" w:rsidRDefault="00901191" w:rsidP="00901191">
      <w:pPr>
        <w:pStyle w:val="FootnoteText"/>
      </w:pPr>
      <w:r>
        <w:rPr>
          <w:rStyle w:val="FootnoteReference"/>
        </w:rPr>
        <w:footnoteRef/>
      </w:r>
      <w:r>
        <w:t xml:space="preserve"> </w:t>
      </w:r>
      <w:hyperlink r:id="rId5" w:history="1">
        <w:r w:rsidRPr="00823C07">
          <w:rPr>
            <w:rStyle w:val="Hyperlink"/>
          </w:rPr>
          <w:t>www.wavr21.com</w:t>
        </w:r>
      </w:hyperlink>
    </w:p>
  </w:footnote>
  <w:footnote w:id="46">
    <w:p w14:paraId="1C03D237" w14:textId="77777777" w:rsidR="00901191" w:rsidRDefault="00901191" w:rsidP="00901191">
      <w:pPr>
        <w:pStyle w:val="FootnoteText"/>
      </w:pPr>
      <w:r>
        <w:rPr>
          <w:rStyle w:val="FootnoteReference"/>
        </w:rPr>
        <w:footnoteRef/>
      </w:r>
      <w:r>
        <w:t xml:space="preserve"> </w:t>
      </w:r>
      <w:hyperlink r:id="rId6" w:history="1">
        <w:r w:rsidRPr="00823C07">
          <w:rPr>
            <w:rStyle w:val="Hyperlink"/>
          </w:rPr>
          <w:t>http://hcr-20.com</w:t>
        </w:r>
      </w:hyperlink>
    </w:p>
  </w:footnote>
  <w:footnote w:id="47">
    <w:p w14:paraId="59A45B73" w14:textId="77777777" w:rsidR="00901191" w:rsidRDefault="00901191" w:rsidP="00901191">
      <w:pPr>
        <w:pStyle w:val="FootnoteText"/>
      </w:pPr>
      <w:r>
        <w:rPr>
          <w:rStyle w:val="FootnoteReference"/>
        </w:rPr>
        <w:footnoteRef/>
      </w:r>
      <w:r>
        <w:t xml:space="preserve"> </w:t>
      </w:r>
      <w:hyperlink r:id="rId7" w:history="1">
        <w:r w:rsidRPr="00823C07">
          <w:rPr>
            <w:rStyle w:val="Hyperlink"/>
          </w:rPr>
          <w:t>www.mosaicmethod.com</w:t>
        </w:r>
      </w:hyperlink>
    </w:p>
  </w:footnote>
  <w:footnote w:id="48">
    <w:p w14:paraId="115531F5" w14:textId="77777777" w:rsidR="00901191" w:rsidRDefault="00901191" w:rsidP="00901191">
      <w:pPr>
        <w:pStyle w:val="FootnoteText"/>
      </w:pPr>
      <w:r w:rsidRPr="005244F9">
        <w:rPr>
          <w:rStyle w:val="FootnoteReference"/>
          <w:color w:val="0070C0"/>
        </w:rPr>
        <w:footnoteRef/>
      </w:r>
      <w:r w:rsidRPr="005244F9">
        <w:rPr>
          <w:color w:val="0070C0"/>
        </w:rPr>
        <w:t xml:space="preserve"> Insert other protected characteristics/reporting resources if this statement will be used </w:t>
      </w:r>
      <w:r>
        <w:rPr>
          <w:color w:val="0070C0"/>
        </w:rPr>
        <w:t xml:space="preserve">to </w:t>
      </w:r>
      <w:r w:rsidRPr="005244F9">
        <w:rPr>
          <w:color w:val="0070C0"/>
        </w:rPr>
        <w:t xml:space="preserve">address discrimination </w:t>
      </w:r>
      <w:r w:rsidRPr="00E64B9E">
        <w:rPr>
          <w:color w:val="0070C0"/>
        </w:rPr>
        <w:t xml:space="preserve">more broadly </w:t>
      </w:r>
      <w:r>
        <w:rPr>
          <w:color w:val="0070C0"/>
        </w:rPr>
        <w:t>than</w:t>
      </w:r>
      <w:r w:rsidRPr="005244F9">
        <w:rPr>
          <w:color w:val="0070C0"/>
        </w:rPr>
        <w:t xml:space="preserve"> Title 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D678" w14:textId="59846083" w:rsidR="00C64C6E" w:rsidRDefault="00B43097">
    <w:pPr>
      <w:pStyle w:val="Header"/>
    </w:pPr>
    <w:r>
      <w:rPr>
        <w:rFonts w:asciiTheme="minorHAnsi" w:hAnsiTheme="minorHAnsi" w:cstheme="minorHAnsi"/>
        <w:b/>
        <w:noProof/>
        <w:u w:val="single"/>
      </w:rPr>
      <w:drawing>
        <wp:anchor distT="0" distB="0" distL="114300" distR="114300" simplePos="0" relativeHeight="251658240" behindDoc="1" locked="0" layoutInCell="1" allowOverlap="1" wp14:anchorId="46775DAD" wp14:editId="12AAD4FC">
          <wp:simplePos x="0" y="0"/>
          <wp:positionH relativeFrom="column">
            <wp:posOffset>0</wp:posOffset>
          </wp:positionH>
          <wp:positionV relativeFrom="paragraph">
            <wp:posOffset>184085</wp:posOffset>
          </wp:positionV>
          <wp:extent cx="5391586" cy="6977346"/>
          <wp:effectExtent l="0" t="0" r="0" b="0"/>
          <wp:wrapTight wrapText="bothSides">
            <wp:wrapPolygon edited="0">
              <wp:start x="0" y="0"/>
              <wp:lineTo x="0" y="21527"/>
              <wp:lineTo x="21524" y="21527"/>
              <wp:lineTo x="21524" y="0"/>
              <wp:lineTo x="0" y="0"/>
            </wp:wrapPolygon>
          </wp:wrapTight>
          <wp:docPr id="1492251520" name="Picture 3" descr="ATIXA's 1 Policy, 1 Procedure (1P1P)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51520" name="Picture 3" descr="ATIXA's 1 Policy, 1 Procedure (1P1P) Model"/>
                  <pic:cNvPicPr/>
                </pic:nvPicPr>
                <pic:blipFill>
                  <a:blip r:embed="rId1">
                    <a:extLst>
                      <a:ext uri="{28A0092B-C50C-407E-A947-70E740481C1C}">
                        <a14:useLocalDpi xmlns:a14="http://schemas.microsoft.com/office/drawing/2010/main" val="0"/>
                      </a:ext>
                    </a:extLst>
                  </a:blip>
                  <a:stretch>
                    <a:fillRect/>
                  </a:stretch>
                </pic:blipFill>
                <pic:spPr>
                  <a:xfrm>
                    <a:off x="0" y="0"/>
                    <a:ext cx="5391586" cy="69773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4E9"/>
    <w:multiLevelType w:val="hybridMultilevel"/>
    <w:tmpl w:val="0BA411B2"/>
    <w:lvl w:ilvl="0" w:tplc="705ACA56">
      <w:start w:val="1"/>
      <w:numFmt w:val="decimal"/>
      <w:lvlText w:val="%1)"/>
      <w:lvlJc w:val="left"/>
      <w:pPr>
        <w:ind w:left="720" w:hanging="360"/>
      </w:pPr>
      <w:rPr>
        <w:rFonts w:hint="default"/>
        <w:b w:val="0"/>
        <w:bCs w:val="0"/>
      </w:rPr>
    </w:lvl>
    <w:lvl w:ilvl="1" w:tplc="9000C05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B5932"/>
    <w:multiLevelType w:val="hybridMultilevel"/>
    <w:tmpl w:val="2E864918"/>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55360B"/>
    <w:multiLevelType w:val="hybridMultilevel"/>
    <w:tmpl w:val="CDB4318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4984"/>
    <w:multiLevelType w:val="hybridMultilevel"/>
    <w:tmpl w:val="1DB2B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6C66EF"/>
    <w:multiLevelType w:val="hybridMultilevel"/>
    <w:tmpl w:val="42985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8609CF"/>
    <w:multiLevelType w:val="hybridMultilevel"/>
    <w:tmpl w:val="0C64AA56"/>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2202E"/>
    <w:multiLevelType w:val="hybridMultilevel"/>
    <w:tmpl w:val="5378B6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A51A2"/>
    <w:multiLevelType w:val="hybridMultilevel"/>
    <w:tmpl w:val="6AD87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12E12"/>
    <w:multiLevelType w:val="hybridMultilevel"/>
    <w:tmpl w:val="A3128EE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56219"/>
    <w:multiLevelType w:val="hybridMultilevel"/>
    <w:tmpl w:val="1D7802DC"/>
    <w:lvl w:ilvl="0" w:tplc="04090019">
      <w:start w:val="1"/>
      <w:numFmt w:val="lowerLetter"/>
      <w:lvlText w:val="%1."/>
      <w:lvlJc w:val="left"/>
      <w:pPr>
        <w:ind w:left="2160" w:hanging="360"/>
      </w:pPr>
    </w:lvl>
    <w:lvl w:ilvl="1" w:tplc="04090003">
      <w:start w:val="1"/>
      <w:numFmt w:val="bullet"/>
      <w:lvlText w:val="o"/>
      <w:lvlJc w:val="left"/>
      <w:pPr>
        <w:ind w:left="3420" w:hanging="360"/>
      </w:pPr>
      <w:rPr>
        <w:rFonts w:ascii="Courier New" w:hAnsi="Courier New" w:cs="Courier New" w:hint="default"/>
      </w:rPr>
    </w:lvl>
    <w:lvl w:ilvl="2" w:tplc="04090003">
      <w:start w:val="1"/>
      <w:numFmt w:val="bullet"/>
      <w:lvlText w:val="o"/>
      <w:lvlJc w:val="left"/>
      <w:pPr>
        <w:ind w:left="3780" w:hanging="360"/>
      </w:pPr>
      <w:rPr>
        <w:rFonts w:ascii="Courier New" w:hAnsi="Courier New" w:cs="Courier New"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1EC4779"/>
    <w:multiLevelType w:val="hybridMultilevel"/>
    <w:tmpl w:val="85FA6F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B11E5A"/>
    <w:multiLevelType w:val="hybridMultilevel"/>
    <w:tmpl w:val="1E8E8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C3681"/>
    <w:multiLevelType w:val="hybridMultilevel"/>
    <w:tmpl w:val="6B1C9306"/>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A152C8"/>
    <w:multiLevelType w:val="hybridMultilevel"/>
    <w:tmpl w:val="A23E9F1E"/>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575438"/>
    <w:multiLevelType w:val="hybridMultilevel"/>
    <w:tmpl w:val="4350B8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394B7F"/>
    <w:multiLevelType w:val="hybridMultilevel"/>
    <w:tmpl w:val="1F74034E"/>
    <w:lvl w:ilvl="0" w:tplc="FFFFFFFF">
      <w:start w:val="1"/>
      <w:numFmt w:val="lowerLetter"/>
      <w:lvlText w:val="%1."/>
      <w:lvlJc w:val="left"/>
      <w:pPr>
        <w:ind w:left="2160" w:hanging="360"/>
      </w:pPr>
    </w:lvl>
    <w:lvl w:ilvl="1" w:tplc="04090005">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1F1A5CBA"/>
    <w:multiLevelType w:val="hybridMultilevel"/>
    <w:tmpl w:val="5148B1AA"/>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A039A7"/>
    <w:multiLevelType w:val="multilevel"/>
    <w:tmpl w:val="CF080F4C"/>
    <w:lvl w:ilvl="0">
      <w:start w:val="1"/>
      <w:numFmt w:val="decimal"/>
      <w:pStyle w:val="Heading1"/>
      <w:lvlText w:val="%1."/>
      <w:lvlJc w:val="left"/>
      <w:pPr>
        <w:ind w:left="630" w:hanging="360"/>
      </w:pPr>
      <w:rPr>
        <w:rFonts w:hint="default"/>
        <w:b/>
        <w:bCs/>
      </w:rPr>
    </w:lvl>
    <w:lvl w:ilvl="1">
      <w:start w:val="1"/>
      <w:numFmt w:val="upperLetter"/>
      <w:pStyle w:val="Heading2"/>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pStyle w:val="Heading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4F03A3"/>
    <w:multiLevelType w:val="hybridMultilevel"/>
    <w:tmpl w:val="8A1E4AAE"/>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6459E"/>
    <w:multiLevelType w:val="hybridMultilevel"/>
    <w:tmpl w:val="305EF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4786A"/>
    <w:multiLevelType w:val="hybridMultilevel"/>
    <w:tmpl w:val="008A16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03BB5"/>
    <w:multiLevelType w:val="hybridMultilevel"/>
    <w:tmpl w:val="0AC46190"/>
    <w:lvl w:ilvl="0" w:tplc="35BA6CB6">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5E2136"/>
    <w:multiLevelType w:val="hybridMultilevel"/>
    <w:tmpl w:val="73FA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26228D"/>
    <w:multiLevelType w:val="hybridMultilevel"/>
    <w:tmpl w:val="78D049EC"/>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9165D"/>
    <w:multiLevelType w:val="hybridMultilevel"/>
    <w:tmpl w:val="3A1245F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FDD5F27"/>
    <w:multiLevelType w:val="hybridMultilevel"/>
    <w:tmpl w:val="A0D48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A63D89"/>
    <w:multiLevelType w:val="hybridMultilevel"/>
    <w:tmpl w:val="3A22924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33657463"/>
    <w:multiLevelType w:val="hybridMultilevel"/>
    <w:tmpl w:val="3E78D3D2"/>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3371306A"/>
    <w:multiLevelType w:val="hybridMultilevel"/>
    <w:tmpl w:val="FBF20C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43F1F80"/>
    <w:multiLevelType w:val="hybridMultilevel"/>
    <w:tmpl w:val="449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095BA4"/>
    <w:multiLevelType w:val="hybridMultilevel"/>
    <w:tmpl w:val="C7D4CC7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8FB3EE3"/>
    <w:multiLevelType w:val="hybridMultilevel"/>
    <w:tmpl w:val="985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8F710B"/>
    <w:multiLevelType w:val="hybridMultilevel"/>
    <w:tmpl w:val="1EC49F2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313998"/>
    <w:multiLevelType w:val="hybridMultilevel"/>
    <w:tmpl w:val="8130AD3C"/>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43D45"/>
    <w:multiLevelType w:val="hybridMultilevel"/>
    <w:tmpl w:val="A0A8FAE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CE30C8"/>
    <w:multiLevelType w:val="hybridMultilevel"/>
    <w:tmpl w:val="58F8A73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F1EDD"/>
    <w:multiLevelType w:val="hybridMultilevel"/>
    <w:tmpl w:val="C902DFCE"/>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461258EC"/>
    <w:multiLevelType w:val="hybridMultilevel"/>
    <w:tmpl w:val="EE84EB40"/>
    <w:lvl w:ilvl="0" w:tplc="04090005">
      <w:start w:val="1"/>
      <w:numFmt w:val="bullet"/>
      <w:lvlText w:val=""/>
      <w:lvlJc w:val="left"/>
      <w:pPr>
        <w:ind w:left="2160" w:hanging="360"/>
      </w:pPr>
      <w:rPr>
        <w:rFonts w:ascii="Wingdings" w:hAnsi="Wingdings" w:hint="default"/>
      </w:r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462D77FF"/>
    <w:multiLevelType w:val="hybridMultilevel"/>
    <w:tmpl w:val="701C8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6DA67B5"/>
    <w:multiLevelType w:val="hybridMultilevel"/>
    <w:tmpl w:val="9410B3F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9266E5B"/>
    <w:multiLevelType w:val="hybridMultilevel"/>
    <w:tmpl w:val="0A76C19A"/>
    <w:lvl w:ilvl="0" w:tplc="0248C2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2B34C1"/>
    <w:multiLevelType w:val="hybridMultilevel"/>
    <w:tmpl w:val="CD5E2C04"/>
    <w:lvl w:ilvl="0" w:tplc="0409000F">
      <w:start w:val="1"/>
      <w:numFmt w:val="decimal"/>
      <w:lvlText w:val="%1."/>
      <w:lvlJc w:val="left"/>
      <w:pPr>
        <w:ind w:left="720" w:hanging="360"/>
      </w:pPr>
    </w:lvl>
    <w:lvl w:ilvl="1" w:tplc="CC5208F4">
      <w:start w:val="1"/>
      <w:numFmt w:val="upperLetter"/>
      <w:lvlText w:val="%2."/>
      <w:lvlJc w:val="left"/>
      <w:pPr>
        <w:ind w:left="1440" w:hanging="360"/>
      </w:pPr>
    </w:lvl>
    <w:lvl w:ilvl="2" w:tplc="043A75AE">
      <w:start w:val="1"/>
      <w:numFmt w:val="lowerRoman"/>
      <w:pStyle w:val="Heading5"/>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3128E7"/>
    <w:multiLevelType w:val="hybridMultilevel"/>
    <w:tmpl w:val="BE347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9D70100"/>
    <w:multiLevelType w:val="hybridMultilevel"/>
    <w:tmpl w:val="21C27E40"/>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847CBF"/>
    <w:multiLevelType w:val="hybridMultilevel"/>
    <w:tmpl w:val="066217A4"/>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B7161C1"/>
    <w:multiLevelType w:val="hybridMultilevel"/>
    <w:tmpl w:val="E9760A30"/>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AA645F"/>
    <w:multiLevelType w:val="hybridMultilevel"/>
    <w:tmpl w:val="E8546104"/>
    <w:lvl w:ilvl="0" w:tplc="FFFFFFFF">
      <w:start w:val="1"/>
      <w:numFmt w:val="lowerLetter"/>
      <w:lvlText w:val="%1."/>
      <w:lvlJc w:val="left"/>
      <w:pPr>
        <w:ind w:left="2160" w:hanging="360"/>
      </w:pPr>
    </w:lvl>
    <w:lvl w:ilvl="1" w:tplc="FFFFFFFF">
      <w:start w:val="1"/>
      <w:numFmt w:val="bullet"/>
      <w:lvlText w:val=""/>
      <w:lvlJc w:val="left"/>
      <w:pPr>
        <w:ind w:left="3420" w:hanging="360"/>
      </w:pPr>
      <w:rPr>
        <w:rFonts w:ascii="Wingdings" w:hAnsi="Wingdings" w:hint="default"/>
      </w:rPr>
    </w:lvl>
    <w:lvl w:ilvl="2" w:tplc="FFFFFFFF">
      <w:start w:val="1"/>
      <w:numFmt w:val="bullet"/>
      <w:lvlText w:val="o"/>
      <w:lvlJc w:val="left"/>
      <w:pPr>
        <w:ind w:left="3780" w:hanging="360"/>
      </w:pPr>
      <w:rPr>
        <w:rFonts w:ascii="Courier New" w:hAnsi="Courier New" w:cs="Courier New" w:hint="default"/>
      </w:rPr>
    </w:lvl>
    <w:lvl w:ilvl="3" w:tplc="04090005">
      <w:start w:val="1"/>
      <w:numFmt w:val="bullet"/>
      <w:lvlText w:val=""/>
      <w:lvlJc w:val="left"/>
      <w:pPr>
        <w:ind w:left="4320" w:hanging="360"/>
      </w:pPr>
      <w:rPr>
        <w:rFonts w:ascii="Wingdings" w:hAnsi="Wingdings" w:hint="default"/>
      </w:rPr>
    </w:lvl>
    <w:lvl w:ilvl="4" w:tplc="3BD23D54">
      <w:start w:val="5"/>
      <w:numFmt w:val="decimal"/>
      <w:lvlText w:val="%5."/>
      <w:lvlJc w:val="left"/>
      <w:pPr>
        <w:ind w:left="5040" w:hanging="360"/>
      </w:pPr>
      <w:rPr>
        <w:rFonts w:hint="default"/>
      </w:r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15:restartNumberingAfterBreak="0">
    <w:nsid w:val="4FFB048A"/>
    <w:multiLevelType w:val="hybridMultilevel"/>
    <w:tmpl w:val="7F62426A"/>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6E405F"/>
    <w:multiLevelType w:val="hybridMultilevel"/>
    <w:tmpl w:val="30F0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AE5F16"/>
    <w:multiLevelType w:val="hybridMultilevel"/>
    <w:tmpl w:val="52167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41731AE"/>
    <w:multiLevelType w:val="hybridMultilevel"/>
    <w:tmpl w:val="227A2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8713FC1"/>
    <w:multiLevelType w:val="hybridMultilevel"/>
    <w:tmpl w:val="093808C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B4C3F0C"/>
    <w:multiLevelType w:val="hybridMultilevel"/>
    <w:tmpl w:val="0590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785664"/>
    <w:multiLevelType w:val="hybridMultilevel"/>
    <w:tmpl w:val="9ADA199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4" w15:restartNumberingAfterBreak="0">
    <w:nsid w:val="5C934B54"/>
    <w:multiLevelType w:val="hybridMultilevel"/>
    <w:tmpl w:val="12FA803A"/>
    <w:lvl w:ilvl="0" w:tplc="443655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9E6431"/>
    <w:multiLevelType w:val="hybridMultilevel"/>
    <w:tmpl w:val="F17E34F6"/>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8752AD"/>
    <w:multiLevelType w:val="hybridMultilevel"/>
    <w:tmpl w:val="F2F2EF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E0949B9"/>
    <w:multiLevelType w:val="hybridMultilevel"/>
    <w:tmpl w:val="DFC40312"/>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0E7C58"/>
    <w:multiLevelType w:val="hybridMultilevel"/>
    <w:tmpl w:val="50265946"/>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511342"/>
    <w:multiLevelType w:val="hybridMultilevel"/>
    <w:tmpl w:val="E926DE7C"/>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03F1D10"/>
    <w:multiLevelType w:val="hybridMultilevel"/>
    <w:tmpl w:val="636A458C"/>
    <w:lvl w:ilvl="0" w:tplc="56F09E3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8507CD"/>
    <w:multiLevelType w:val="hybridMultilevel"/>
    <w:tmpl w:val="286AF7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6161189D"/>
    <w:multiLevelType w:val="hybridMultilevel"/>
    <w:tmpl w:val="F68AD002"/>
    <w:lvl w:ilvl="0" w:tplc="4072BE3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5F5019"/>
    <w:multiLevelType w:val="hybridMultilevel"/>
    <w:tmpl w:val="7586260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64DB7B1F"/>
    <w:multiLevelType w:val="hybridMultilevel"/>
    <w:tmpl w:val="5268E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BE4C3B"/>
    <w:multiLevelType w:val="hybridMultilevel"/>
    <w:tmpl w:val="309E9940"/>
    <w:lvl w:ilvl="0" w:tplc="FFFFFFFF">
      <w:start w:val="1"/>
      <w:numFmt w:val="decimal"/>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B16695B"/>
    <w:multiLevelType w:val="hybridMultilevel"/>
    <w:tmpl w:val="0EF298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8A4930"/>
    <w:multiLevelType w:val="hybridMultilevel"/>
    <w:tmpl w:val="37BED16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6C443102"/>
    <w:multiLevelType w:val="hybridMultilevel"/>
    <w:tmpl w:val="A6B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78580E"/>
    <w:multiLevelType w:val="hybridMultilevel"/>
    <w:tmpl w:val="2544FC2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05404AE"/>
    <w:multiLevelType w:val="hybridMultilevel"/>
    <w:tmpl w:val="53A8C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774FA5"/>
    <w:multiLevelType w:val="hybridMultilevel"/>
    <w:tmpl w:val="5220000C"/>
    <w:lvl w:ilvl="0" w:tplc="4072BE3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D863D8"/>
    <w:multiLevelType w:val="hybridMultilevel"/>
    <w:tmpl w:val="3476E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1E81249"/>
    <w:multiLevelType w:val="hybridMultilevel"/>
    <w:tmpl w:val="92EE316C"/>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4" w15:restartNumberingAfterBreak="0">
    <w:nsid w:val="723C3840"/>
    <w:multiLevelType w:val="hybridMultilevel"/>
    <w:tmpl w:val="0E0E7756"/>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2F1477F"/>
    <w:multiLevelType w:val="hybridMultilevel"/>
    <w:tmpl w:val="286AF7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941109F"/>
    <w:multiLevelType w:val="hybridMultilevel"/>
    <w:tmpl w:val="C398347A"/>
    <w:lvl w:ilvl="0" w:tplc="4072BE3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E931E5D"/>
    <w:multiLevelType w:val="hybridMultilevel"/>
    <w:tmpl w:val="030652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2006593">
    <w:abstractNumId w:val="17"/>
  </w:num>
  <w:num w:numId="2" w16cid:durableId="418674241">
    <w:abstractNumId w:val="25"/>
  </w:num>
  <w:num w:numId="3" w16cid:durableId="1782069622">
    <w:abstractNumId w:val="45"/>
  </w:num>
  <w:num w:numId="4" w16cid:durableId="1871920171">
    <w:abstractNumId w:val="22"/>
  </w:num>
  <w:num w:numId="5" w16cid:durableId="2084133341">
    <w:abstractNumId w:val="35"/>
  </w:num>
  <w:num w:numId="6" w16cid:durableId="197134647">
    <w:abstractNumId w:val="44"/>
  </w:num>
  <w:num w:numId="7" w16cid:durableId="1071393682">
    <w:abstractNumId w:val="21"/>
  </w:num>
  <w:num w:numId="8" w16cid:durableId="1765110492">
    <w:abstractNumId w:val="9"/>
  </w:num>
  <w:num w:numId="9" w16cid:durableId="1258707682">
    <w:abstractNumId w:val="14"/>
  </w:num>
  <w:num w:numId="10" w16cid:durableId="1778329380">
    <w:abstractNumId w:val="1"/>
  </w:num>
  <w:num w:numId="11" w16cid:durableId="518349103">
    <w:abstractNumId w:val="64"/>
  </w:num>
  <w:num w:numId="12" w16cid:durableId="479157357">
    <w:abstractNumId w:val="74"/>
  </w:num>
  <w:num w:numId="13" w16cid:durableId="160045698">
    <w:abstractNumId w:val="72"/>
  </w:num>
  <w:num w:numId="14" w16cid:durableId="519203443">
    <w:abstractNumId w:val="33"/>
  </w:num>
  <w:num w:numId="15" w16cid:durableId="537858467">
    <w:abstractNumId w:val="34"/>
  </w:num>
  <w:num w:numId="16" w16cid:durableId="913513849">
    <w:abstractNumId w:val="2"/>
  </w:num>
  <w:num w:numId="17" w16cid:durableId="4018663">
    <w:abstractNumId w:val="20"/>
  </w:num>
  <w:num w:numId="18" w16cid:durableId="1467969265">
    <w:abstractNumId w:val="75"/>
  </w:num>
  <w:num w:numId="19" w16cid:durableId="427652011">
    <w:abstractNumId w:val="30"/>
  </w:num>
  <w:num w:numId="20" w16cid:durableId="728964518">
    <w:abstractNumId w:val="76"/>
  </w:num>
  <w:num w:numId="21" w16cid:durableId="987518925">
    <w:abstractNumId w:val="32"/>
  </w:num>
  <w:num w:numId="22" w16cid:durableId="984162651">
    <w:abstractNumId w:val="57"/>
  </w:num>
  <w:num w:numId="23" w16cid:durableId="1933736495">
    <w:abstractNumId w:val="62"/>
  </w:num>
  <w:num w:numId="24" w16cid:durableId="612130118">
    <w:abstractNumId w:val="39"/>
  </w:num>
  <w:num w:numId="25" w16cid:durableId="128672430">
    <w:abstractNumId w:val="59"/>
  </w:num>
  <w:num w:numId="26" w16cid:durableId="2089572796">
    <w:abstractNumId w:val="51"/>
  </w:num>
  <w:num w:numId="27" w16cid:durableId="1265579371">
    <w:abstractNumId w:val="28"/>
  </w:num>
  <w:num w:numId="28" w16cid:durableId="1699577470">
    <w:abstractNumId w:val="43"/>
  </w:num>
  <w:num w:numId="29" w16cid:durableId="245768342">
    <w:abstractNumId w:val="66"/>
  </w:num>
  <w:num w:numId="30" w16cid:durableId="381558726">
    <w:abstractNumId w:val="41"/>
  </w:num>
  <w:num w:numId="31" w16cid:durableId="687223126">
    <w:abstractNumId w:val="60"/>
  </w:num>
  <w:num w:numId="32" w16cid:durableId="950474602">
    <w:abstractNumId w:val="65"/>
  </w:num>
  <w:num w:numId="33" w16cid:durableId="1823154333">
    <w:abstractNumId w:val="54"/>
  </w:num>
  <w:num w:numId="34" w16cid:durableId="46994976">
    <w:abstractNumId w:val="0"/>
  </w:num>
  <w:num w:numId="35" w16cid:durableId="395518510">
    <w:abstractNumId w:val="63"/>
  </w:num>
  <w:num w:numId="36" w16cid:durableId="171913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2996064">
    <w:abstractNumId w:val="15"/>
  </w:num>
  <w:num w:numId="38" w16cid:durableId="955023003">
    <w:abstractNumId w:val="36"/>
  </w:num>
  <w:num w:numId="39" w16cid:durableId="1263339709">
    <w:abstractNumId w:val="46"/>
  </w:num>
  <w:num w:numId="40" w16cid:durableId="274337982">
    <w:abstractNumId w:val="37"/>
  </w:num>
  <w:num w:numId="41" w16cid:durableId="1786538651">
    <w:abstractNumId w:val="40"/>
  </w:num>
  <w:num w:numId="42" w16cid:durableId="890455504">
    <w:abstractNumId w:val="7"/>
  </w:num>
  <w:num w:numId="43" w16cid:durableId="1102141329">
    <w:abstractNumId w:val="6"/>
  </w:num>
  <w:num w:numId="44" w16cid:durableId="747965391">
    <w:abstractNumId w:val="31"/>
  </w:num>
  <w:num w:numId="45" w16cid:durableId="1317536328">
    <w:abstractNumId w:val="19"/>
  </w:num>
  <w:num w:numId="46" w16cid:durableId="484979248">
    <w:abstractNumId w:val="11"/>
  </w:num>
  <w:num w:numId="47" w16cid:durableId="97413015">
    <w:abstractNumId w:val="50"/>
  </w:num>
  <w:num w:numId="48" w16cid:durableId="711613500">
    <w:abstractNumId w:val="38"/>
  </w:num>
  <w:num w:numId="49" w16cid:durableId="601954423">
    <w:abstractNumId w:val="49"/>
  </w:num>
  <w:num w:numId="50" w16cid:durableId="1824160074">
    <w:abstractNumId w:val="56"/>
  </w:num>
  <w:num w:numId="51" w16cid:durableId="251663879">
    <w:abstractNumId w:val="42"/>
  </w:num>
  <w:num w:numId="52" w16cid:durableId="1729645416">
    <w:abstractNumId w:val="69"/>
  </w:num>
  <w:num w:numId="53" w16cid:durableId="693922097">
    <w:abstractNumId w:val="73"/>
  </w:num>
  <w:num w:numId="54" w16cid:durableId="605696884">
    <w:abstractNumId w:val="24"/>
  </w:num>
  <w:num w:numId="55" w16cid:durableId="2018651008">
    <w:abstractNumId w:val="4"/>
  </w:num>
  <w:num w:numId="56" w16cid:durableId="1009136146">
    <w:abstractNumId w:val="10"/>
  </w:num>
  <w:num w:numId="57" w16cid:durableId="1272473903">
    <w:abstractNumId w:val="3"/>
  </w:num>
  <w:num w:numId="58" w16cid:durableId="1028873676">
    <w:abstractNumId w:val="27"/>
  </w:num>
  <w:num w:numId="59" w16cid:durableId="1919169749">
    <w:abstractNumId w:val="26"/>
  </w:num>
  <w:num w:numId="60" w16cid:durableId="1941139240">
    <w:abstractNumId w:val="67"/>
  </w:num>
  <w:num w:numId="61" w16cid:durableId="1883979204">
    <w:abstractNumId w:val="53"/>
  </w:num>
  <w:num w:numId="62" w16cid:durableId="1826126409">
    <w:abstractNumId w:val="5"/>
  </w:num>
  <w:num w:numId="63" w16cid:durableId="379743807">
    <w:abstractNumId w:val="16"/>
  </w:num>
  <w:num w:numId="64" w16cid:durableId="1243684882">
    <w:abstractNumId w:val="77"/>
  </w:num>
  <w:num w:numId="65" w16cid:durableId="1890797991">
    <w:abstractNumId w:val="8"/>
  </w:num>
  <w:num w:numId="66" w16cid:durableId="722213978">
    <w:abstractNumId w:val="12"/>
  </w:num>
  <w:num w:numId="67" w16cid:durableId="1015497033">
    <w:abstractNumId w:val="23"/>
  </w:num>
  <w:num w:numId="68" w16cid:durableId="1165172124">
    <w:abstractNumId w:val="55"/>
  </w:num>
  <w:num w:numId="69" w16cid:durableId="1017346203">
    <w:abstractNumId w:val="70"/>
  </w:num>
  <w:num w:numId="70" w16cid:durableId="1304503697">
    <w:abstractNumId w:val="47"/>
  </w:num>
  <w:num w:numId="71" w16cid:durableId="506676095">
    <w:abstractNumId w:val="13"/>
  </w:num>
  <w:num w:numId="72" w16cid:durableId="17123678">
    <w:abstractNumId w:val="61"/>
  </w:num>
  <w:num w:numId="73" w16cid:durableId="375664848">
    <w:abstractNumId w:val="48"/>
  </w:num>
  <w:num w:numId="74" w16cid:durableId="687634075">
    <w:abstractNumId w:val="71"/>
  </w:num>
  <w:num w:numId="75" w16cid:durableId="693112529">
    <w:abstractNumId w:val="18"/>
  </w:num>
  <w:num w:numId="76" w16cid:durableId="594636682">
    <w:abstractNumId w:val="58"/>
  </w:num>
  <w:num w:numId="77" w16cid:durableId="917329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61195055">
    <w:abstractNumId w:val="52"/>
  </w:num>
  <w:num w:numId="79" w16cid:durableId="846404066">
    <w:abstractNumId w:val="29"/>
  </w:num>
  <w:num w:numId="80" w16cid:durableId="1413771671">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04"/>
    <w:rsid w:val="000005C2"/>
    <w:rsid w:val="00000B0C"/>
    <w:rsid w:val="000075C1"/>
    <w:rsid w:val="000077F5"/>
    <w:rsid w:val="000104FB"/>
    <w:rsid w:val="00010E2B"/>
    <w:rsid w:val="00011223"/>
    <w:rsid w:val="000114E8"/>
    <w:rsid w:val="00017859"/>
    <w:rsid w:val="0002077D"/>
    <w:rsid w:val="0002078C"/>
    <w:rsid w:val="00021C70"/>
    <w:rsid w:val="000226E8"/>
    <w:rsid w:val="000228A9"/>
    <w:rsid w:val="000235EC"/>
    <w:rsid w:val="00025377"/>
    <w:rsid w:val="000256CD"/>
    <w:rsid w:val="00032F1F"/>
    <w:rsid w:val="00033175"/>
    <w:rsid w:val="000334A0"/>
    <w:rsid w:val="00040572"/>
    <w:rsid w:val="000406BD"/>
    <w:rsid w:val="000414BC"/>
    <w:rsid w:val="00041844"/>
    <w:rsid w:val="00041C48"/>
    <w:rsid w:val="00041DED"/>
    <w:rsid w:val="00043733"/>
    <w:rsid w:val="00043C4C"/>
    <w:rsid w:val="00044BFD"/>
    <w:rsid w:val="00045A86"/>
    <w:rsid w:val="00045F52"/>
    <w:rsid w:val="00046584"/>
    <w:rsid w:val="00052C1B"/>
    <w:rsid w:val="00054B6C"/>
    <w:rsid w:val="00054FF6"/>
    <w:rsid w:val="00056710"/>
    <w:rsid w:val="00057B7C"/>
    <w:rsid w:val="0006108F"/>
    <w:rsid w:val="00063939"/>
    <w:rsid w:val="00065561"/>
    <w:rsid w:val="00066AC0"/>
    <w:rsid w:val="00066E07"/>
    <w:rsid w:val="00067F28"/>
    <w:rsid w:val="00070E49"/>
    <w:rsid w:val="00071E4C"/>
    <w:rsid w:val="000723FD"/>
    <w:rsid w:val="00072B8D"/>
    <w:rsid w:val="0007364D"/>
    <w:rsid w:val="0007537C"/>
    <w:rsid w:val="0007540F"/>
    <w:rsid w:val="000758BB"/>
    <w:rsid w:val="00075B67"/>
    <w:rsid w:val="000764BA"/>
    <w:rsid w:val="00076F9C"/>
    <w:rsid w:val="000817F3"/>
    <w:rsid w:val="00081F80"/>
    <w:rsid w:val="00083DF4"/>
    <w:rsid w:val="00090DC8"/>
    <w:rsid w:val="000915DB"/>
    <w:rsid w:val="00091ABF"/>
    <w:rsid w:val="0009500B"/>
    <w:rsid w:val="00095BAE"/>
    <w:rsid w:val="00096510"/>
    <w:rsid w:val="00097511"/>
    <w:rsid w:val="000975C2"/>
    <w:rsid w:val="000A0A0C"/>
    <w:rsid w:val="000A1257"/>
    <w:rsid w:val="000A20FB"/>
    <w:rsid w:val="000A36A8"/>
    <w:rsid w:val="000A6897"/>
    <w:rsid w:val="000A6DAA"/>
    <w:rsid w:val="000B43FD"/>
    <w:rsid w:val="000B4C8E"/>
    <w:rsid w:val="000B4EBE"/>
    <w:rsid w:val="000B54A2"/>
    <w:rsid w:val="000B6108"/>
    <w:rsid w:val="000B75FF"/>
    <w:rsid w:val="000C0099"/>
    <w:rsid w:val="000C045B"/>
    <w:rsid w:val="000C1960"/>
    <w:rsid w:val="000C1AE2"/>
    <w:rsid w:val="000C1BFA"/>
    <w:rsid w:val="000C295F"/>
    <w:rsid w:val="000C3FBF"/>
    <w:rsid w:val="000C4489"/>
    <w:rsid w:val="000C4621"/>
    <w:rsid w:val="000C6320"/>
    <w:rsid w:val="000D2F66"/>
    <w:rsid w:val="000D33E9"/>
    <w:rsid w:val="000D5133"/>
    <w:rsid w:val="000D56C5"/>
    <w:rsid w:val="000D6228"/>
    <w:rsid w:val="000E02AE"/>
    <w:rsid w:val="000E230B"/>
    <w:rsid w:val="000E305B"/>
    <w:rsid w:val="000E4E94"/>
    <w:rsid w:val="000E53B0"/>
    <w:rsid w:val="000E78A2"/>
    <w:rsid w:val="000F24A8"/>
    <w:rsid w:val="000F2C4F"/>
    <w:rsid w:val="000F4867"/>
    <w:rsid w:val="000F5EEB"/>
    <w:rsid w:val="00101335"/>
    <w:rsid w:val="00102F7F"/>
    <w:rsid w:val="001036B2"/>
    <w:rsid w:val="001039B7"/>
    <w:rsid w:val="00103A03"/>
    <w:rsid w:val="00103DA0"/>
    <w:rsid w:val="00105489"/>
    <w:rsid w:val="00106569"/>
    <w:rsid w:val="0010668A"/>
    <w:rsid w:val="00111617"/>
    <w:rsid w:val="001116CA"/>
    <w:rsid w:val="00113090"/>
    <w:rsid w:val="0011540F"/>
    <w:rsid w:val="0011566E"/>
    <w:rsid w:val="00115ED2"/>
    <w:rsid w:val="00122B35"/>
    <w:rsid w:val="00126A62"/>
    <w:rsid w:val="0013026F"/>
    <w:rsid w:val="001326D3"/>
    <w:rsid w:val="0013611F"/>
    <w:rsid w:val="001362A5"/>
    <w:rsid w:val="001372AE"/>
    <w:rsid w:val="001379AF"/>
    <w:rsid w:val="0014062B"/>
    <w:rsid w:val="001417E2"/>
    <w:rsid w:val="00141869"/>
    <w:rsid w:val="00141B10"/>
    <w:rsid w:val="0014317B"/>
    <w:rsid w:val="00143228"/>
    <w:rsid w:val="00143610"/>
    <w:rsid w:val="00144BAC"/>
    <w:rsid w:val="00144C3E"/>
    <w:rsid w:val="00146201"/>
    <w:rsid w:val="001476ED"/>
    <w:rsid w:val="00150170"/>
    <w:rsid w:val="001511D4"/>
    <w:rsid w:val="00151EE7"/>
    <w:rsid w:val="0015426B"/>
    <w:rsid w:val="00154F11"/>
    <w:rsid w:val="001562B5"/>
    <w:rsid w:val="001625DF"/>
    <w:rsid w:val="0016472E"/>
    <w:rsid w:val="00166D91"/>
    <w:rsid w:val="00166EB3"/>
    <w:rsid w:val="0016757C"/>
    <w:rsid w:val="00170334"/>
    <w:rsid w:val="00171CB9"/>
    <w:rsid w:val="0017676F"/>
    <w:rsid w:val="00176B6D"/>
    <w:rsid w:val="00183B3B"/>
    <w:rsid w:val="00185B34"/>
    <w:rsid w:val="00191133"/>
    <w:rsid w:val="00191C98"/>
    <w:rsid w:val="0019332C"/>
    <w:rsid w:val="001936EF"/>
    <w:rsid w:val="00194257"/>
    <w:rsid w:val="001950AF"/>
    <w:rsid w:val="00195ECE"/>
    <w:rsid w:val="001A056A"/>
    <w:rsid w:val="001A1F77"/>
    <w:rsid w:val="001A50A7"/>
    <w:rsid w:val="001A635E"/>
    <w:rsid w:val="001A6D20"/>
    <w:rsid w:val="001B1767"/>
    <w:rsid w:val="001B53D0"/>
    <w:rsid w:val="001B5741"/>
    <w:rsid w:val="001B70F8"/>
    <w:rsid w:val="001B74ED"/>
    <w:rsid w:val="001B788E"/>
    <w:rsid w:val="001B7AF0"/>
    <w:rsid w:val="001B7D85"/>
    <w:rsid w:val="001C007D"/>
    <w:rsid w:val="001C08BB"/>
    <w:rsid w:val="001C1815"/>
    <w:rsid w:val="001C1B23"/>
    <w:rsid w:val="001C27A1"/>
    <w:rsid w:val="001C325E"/>
    <w:rsid w:val="001C3AA5"/>
    <w:rsid w:val="001C3AEC"/>
    <w:rsid w:val="001C636D"/>
    <w:rsid w:val="001C64FB"/>
    <w:rsid w:val="001C77F1"/>
    <w:rsid w:val="001D25D0"/>
    <w:rsid w:val="001D29CA"/>
    <w:rsid w:val="001D2A80"/>
    <w:rsid w:val="001D2C1D"/>
    <w:rsid w:val="001D390F"/>
    <w:rsid w:val="001D563D"/>
    <w:rsid w:val="001D58A3"/>
    <w:rsid w:val="001D62AC"/>
    <w:rsid w:val="001D6819"/>
    <w:rsid w:val="001D69E9"/>
    <w:rsid w:val="001D770D"/>
    <w:rsid w:val="001D7EBC"/>
    <w:rsid w:val="001E1142"/>
    <w:rsid w:val="001E2271"/>
    <w:rsid w:val="001E640D"/>
    <w:rsid w:val="001E6A09"/>
    <w:rsid w:val="001E798A"/>
    <w:rsid w:val="001F134E"/>
    <w:rsid w:val="001F1873"/>
    <w:rsid w:val="001F2A64"/>
    <w:rsid w:val="001F6349"/>
    <w:rsid w:val="00200889"/>
    <w:rsid w:val="00201CBC"/>
    <w:rsid w:val="00204659"/>
    <w:rsid w:val="00205A58"/>
    <w:rsid w:val="00205C1E"/>
    <w:rsid w:val="002074DF"/>
    <w:rsid w:val="002104A4"/>
    <w:rsid w:val="00211BAC"/>
    <w:rsid w:val="002122AD"/>
    <w:rsid w:val="002122D9"/>
    <w:rsid w:val="00212833"/>
    <w:rsid w:val="00214568"/>
    <w:rsid w:val="00215345"/>
    <w:rsid w:val="002162CD"/>
    <w:rsid w:val="002212C4"/>
    <w:rsid w:val="00221E0D"/>
    <w:rsid w:val="002225C9"/>
    <w:rsid w:val="002226AA"/>
    <w:rsid w:val="00222F82"/>
    <w:rsid w:val="00222FE6"/>
    <w:rsid w:val="00223B1D"/>
    <w:rsid w:val="00225F1C"/>
    <w:rsid w:val="00230E8D"/>
    <w:rsid w:val="0023125F"/>
    <w:rsid w:val="0023151C"/>
    <w:rsid w:val="00231C61"/>
    <w:rsid w:val="0023341D"/>
    <w:rsid w:val="0023382F"/>
    <w:rsid w:val="00235036"/>
    <w:rsid w:val="00235960"/>
    <w:rsid w:val="00235AD6"/>
    <w:rsid w:val="00236AD6"/>
    <w:rsid w:val="00237DD8"/>
    <w:rsid w:val="0024026B"/>
    <w:rsid w:val="002404B9"/>
    <w:rsid w:val="00240E92"/>
    <w:rsid w:val="0024103E"/>
    <w:rsid w:val="002417B7"/>
    <w:rsid w:val="002426C7"/>
    <w:rsid w:val="00242B5C"/>
    <w:rsid w:val="0024307F"/>
    <w:rsid w:val="002453A8"/>
    <w:rsid w:val="00246ED3"/>
    <w:rsid w:val="00250D8A"/>
    <w:rsid w:val="00256217"/>
    <w:rsid w:val="0025659B"/>
    <w:rsid w:val="00256B53"/>
    <w:rsid w:val="00262170"/>
    <w:rsid w:val="00265E07"/>
    <w:rsid w:val="002671E6"/>
    <w:rsid w:val="0027212F"/>
    <w:rsid w:val="00272646"/>
    <w:rsid w:val="0027264A"/>
    <w:rsid w:val="0027460E"/>
    <w:rsid w:val="00274AEB"/>
    <w:rsid w:val="0027592A"/>
    <w:rsid w:val="00276967"/>
    <w:rsid w:val="00276F44"/>
    <w:rsid w:val="00281566"/>
    <w:rsid w:val="0028330E"/>
    <w:rsid w:val="002839CD"/>
    <w:rsid w:val="00283F30"/>
    <w:rsid w:val="0028402F"/>
    <w:rsid w:val="0028433B"/>
    <w:rsid w:val="0028524D"/>
    <w:rsid w:val="002854B8"/>
    <w:rsid w:val="0028631C"/>
    <w:rsid w:val="00290AB3"/>
    <w:rsid w:val="00290D7A"/>
    <w:rsid w:val="00291A48"/>
    <w:rsid w:val="00291D46"/>
    <w:rsid w:val="0029209C"/>
    <w:rsid w:val="00294E79"/>
    <w:rsid w:val="002953C7"/>
    <w:rsid w:val="00295AF0"/>
    <w:rsid w:val="002961F9"/>
    <w:rsid w:val="002A089D"/>
    <w:rsid w:val="002A08F8"/>
    <w:rsid w:val="002A1C42"/>
    <w:rsid w:val="002A24D1"/>
    <w:rsid w:val="002A4044"/>
    <w:rsid w:val="002A4AD8"/>
    <w:rsid w:val="002A63EE"/>
    <w:rsid w:val="002A6F2E"/>
    <w:rsid w:val="002A77BF"/>
    <w:rsid w:val="002A7F7B"/>
    <w:rsid w:val="002B0CF5"/>
    <w:rsid w:val="002B0F40"/>
    <w:rsid w:val="002B0F71"/>
    <w:rsid w:val="002B2E6B"/>
    <w:rsid w:val="002B633B"/>
    <w:rsid w:val="002B63FF"/>
    <w:rsid w:val="002B7BCC"/>
    <w:rsid w:val="002C22EC"/>
    <w:rsid w:val="002C2EB5"/>
    <w:rsid w:val="002C34CB"/>
    <w:rsid w:val="002C3883"/>
    <w:rsid w:val="002C3EA8"/>
    <w:rsid w:val="002C4A5F"/>
    <w:rsid w:val="002C4C80"/>
    <w:rsid w:val="002C666D"/>
    <w:rsid w:val="002C7BAC"/>
    <w:rsid w:val="002D055A"/>
    <w:rsid w:val="002D22F0"/>
    <w:rsid w:val="002D2EE8"/>
    <w:rsid w:val="002D4AD4"/>
    <w:rsid w:val="002D510C"/>
    <w:rsid w:val="002D551C"/>
    <w:rsid w:val="002D577B"/>
    <w:rsid w:val="002D6D5C"/>
    <w:rsid w:val="002D6FA0"/>
    <w:rsid w:val="002E0B36"/>
    <w:rsid w:val="002E2020"/>
    <w:rsid w:val="002E778E"/>
    <w:rsid w:val="002F2BD7"/>
    <w:rsid w:val="002F2BEB"/>
    <w:rsid w:val="002F3FF0"/>
    <w:rsid w:val="002F441A"/>
    <w:rsid w:val="002F649F"/>
    <w:rsid w:val="002F6ABB"/>
    <w:rsid w:val="002F7144"/>
    <w:rsid w:val="003001F3"/>
    <w:rsid w:val="0030248A"/>
    <w:rsid w:val="003025A2"/>
    <w:rsid w:val="00303288"/>
    <w:rsid w:val="00304BE0"/>
    <w:rsid w:val="00304D4A"/>
    <w:rsid w:val="0030660D"/>
    <w:rsid w:val="003071F3"/>
    <w:rsid w:val="0030743B"/>
    <w:rsid w:val="00307CDD"/>
    <w:rsid w:val="00311801"/>
    <w:rsid w:val="00312AD7"/>
    <w:rsid w:val="00313A49"/>
    <w:rsid w:val="00314450"/>
    <w:rsid w:val="0031478B"/>
    <w:rsid w:val="00314F7D"/>
    <w:rsid w:val="0032141D"/>
    <w:rsid w:val="00321B08"/>
    <w:rsid w:val="00321D04"/>
    <w:rsid w:val="00321F51"/>
    <w:rsid w:val="0032368D"/>
    <w:rsid w:val="00330921"/>
    <w:rsid w:val="0033147C"/>
    <w:rsid w:val="00331C2F"/>
    <w:rsid w:val="00333C5D"/>
    <w:rsid w:val="00334558"/>
    <w:rsid w:val="003350FF"/>
    <w:rsid w:val="00337800"/>
    <w:rsid w:val="00337E9B"/>
    <w:rsid w:val="00340501"/>
    <w:rsid w:val="0034171F"/>
    <w:rsid w:val="00342AC2"/>
    <w:rsid w:val="00343EF8"/>
    <w:rsid w:val="00346105"/>
    <w:rsid w:val="00353F86"/>
    <w:rsid w:val="00354066"/>
    <w:rsid w:val="00354B25"/>
    <w:rsid w:val="00355C96"/>
    <w:rsid w:val="00356621"/>
    <w:rsid w:val="00356D69"/>
    <w:rsid w:val="00356F26"/>
    <w:rsid w:val="00360826"/>
    <w:rsid w:val="00363DB9"/>
    <w:rsid w:val="00363E04"/>
    <w:rsid w:val="0036450C"/>
    <w:rsid w:val="00370C3B"/>
    <w:rsid w:val="00373331"/>
    <w:rsid w:val="00374CBD"/>
    <w:rsid w:val="0037734E"/>
    <w:rsid w:val="00377737"/>
    <w:rsid w:val="00383220"/>
    <w:rsid w:val="00383CE8"/>
    <w:rsid w:val="00384C69"/>
    <w:rsid w:val="00386704"/>
    <w:rsid w:val="00387291"/>
    <w:rsid w:val="00390726"/>
    <w:rsid w:val="00392379"/>
    <w:rsid w:val="00392687"/>
    <w:rsid w:val="003A085A"/>
    <w:rsid w:val="003A2F15"/>
    <w:rsid w:val="003A31DE"/>
    <w:rsid w:val="003A3770"/>
    <w:rsid w:val="003A681B"/>
    <w:rsid w:val="003A7BC6"/>
    <w:rsid w:val="003B0CA9"/>
    <w:rsid w:val="003B1930"/>
    <w:rsid w:val="003B1D69"/>
    <w:rsid w:val="003B288F"/>
    <w:rsid w:val="003B41EF"/>
    <w:rsid w:val="003B44AA"/>
    <w:rsid w:val="003B5290"/>
    <w:rsid w:val="003C1116"/>
    <w:rsid w:val="003C2880"/>
    <w:rsid w:val="003C2ACB"/>
    <w:rsid w:val="003C366A"/>
    <w:rsid w:val="003C4B88"/>
    <w:rsid w:val="003C601A"/>
    <w:rsid w:val="003C7330"/>
    <w:rsid w:val="003D316A"/>
    <w:rsid w:val="003D3AF8"/>
    <w:rsid w:val="003D4F66"/>
    <w:rsid w:val="003E19DA"/>
    <w:rsid w:val="003E226B"/>
    <w:rsid w:val="003E515C"/>
    <w:rsid w:val="003E7A29"/>
    <w:rsid w:val="003F0FE2"/>
    <w:rsid w:val="003F2426"/>
    <w:rsid w:val="003F298E"/>
    <w:rsid w:val="003F409D"/>
    <w:rsid w:val="003F5ED7"/>
    <w:rsid w:val="0040077D"/>
    <w:rsid w:val="00400DBC"/>
    <w:rsid w:val="004035B2"/>
    <w:rsid w:val="00405B97"/>
    <w:rsid w:val="00407393"/>
    <w:rsid w:val="00407BE0"/>
    <w:rsid w:val="0041129D"/>
    <w:rsid w:val="00411812"/>
    <w:rsid w:val="00412F51"/>
    <w:rsid w:val="00413374"/>
    <w:rsid w:val="0041354F"/>
    <w:rsid w:val="00414279"/>
    <w:rsid w:val="0041470F"/>
    <w:rsid w:val="00415D9F"/>
    <w:rsid w:val="00422341"/>
    <w:rsid w:val="0042628E"/>
    <w:rsid w:val="00426B93"/>
    <w:rsid w:val="0043162F"/>
    <w:rsid w:val="0043170C"/>
    <w:rsid w:val="0043267E"/>
    <w:rsid w:val="004334DA"/>
    <w:rsid w:val="00433742"/>
    <w:rsid w:val="00433C08"/>
    <w:rsid w:val="00434BCC"/>
    <w:rsid w:val="00436000"/>
    <w:rsid w:val="0043611D"/>
    <w:rsid w:val="00436168"/>
    <w:rsid w:val="0044028B"/>
    <w:rsid w:val="004436A4"/>
    <w:rsid w:val="004448B8"/>
    <w:rsid w:val="004457E9"/>
    <w:rsid w:val="00446204"/>
    <w:rsid w:val="004472A2"/>
    <w:rsid w:val="00447DC3"/>
    <w:rsid w:val="00451B14"/>
    <w:rsid w:val="0045509C"/>
    <w:rsid w:val="00457D2F"/>
    <w:rsid w:val="004633C8"/>
    <w:rsid w:val="00463C4D"/>
    <w:rsid w:val="00464082"/>
    <w:rsid w:val="00464AFA"/>
    <w:rsid w:val="00464B3D"/>
    <w:rsid w:val="004702E0"/>
    <w:rsid w:val="0047369F"/>
    <w:rsid w:val="00473751"/>
    <w:rsid w:val="00473EF9"/>
    <w:rsid w:val="00477E39"/>
    <w:rsid w:val="0048026A"/>
    <w:rsid w:val="004807D2"/>
    <w:rsid w:val="00482FDF"/>
    <w:rsid w:val="00483CA5"/>
    <w:rsid w:val="00485B64"/>
    <w:rsid w:val="00485DF6"/>
    <w:rsid w:val="00485EAD"/>
    <w:rsid w:val="00487C36"/>
    <w:rsid w:val="00490688"/>
    <w:rsid w:val="0049174B"/>
    <w:rsid w:val="00491838"/>
    <w:rsid w:val="00494A84"/>
    <w:rsid w:val="0049550B"/>
    <w:rsid w:val="00496934"/>
    <w:rsid w:val="004A17EC"/>
    <w:rsid w:val="004A1A46"/>
    <w:rsid w:val="004A1F8E"/>
    <w:rsid w:val="004A30F0"/>
    <w:rsid w:val="004A33C6"/>
    <w:rsid w:val="004A541A"/>
    <w:rsid w:val="004A5471"/>
    <w:rsid w:val="004A639C"/>
    <w:rsid w:val="004A7A87"/>
    <w:rsid w:val="004B1702"/>
    <w:rsid w:val="004B2AF5"/>
    <w:rsid w:val="004B302D"/>
    <w:rsid w:val="004B3E0E"/>
    <w:rsid w:val="004B724D"/>
    <w:rsid w:val="004C2653"/>
    <w:rsid w:val="004C2E85"/>
    <w:rsid w:val="004C3F59"/>
    <w:rsid w:val="004C433C"/>
    <w:rsid w:val="004C4704"/>
    <w:rsid w:val="004C4D5E"/>
    <w:rsid w:val="004D0FE0"/>
    <w:rsid w:val="004D27DF"/>
    <w:rsid w:val="004D2E7A"/>
    <w:rsid w:val="004D2EF3"/>
    <w:rsid w:val="004D3A8B"/>
    <w:rsid w:val="004D41A0"/>
    <w:rsid w:val="004D45EE"/>
    <w:rsid w:val="004D5040"/>
    <w:rsid w:val="004D69DA"/>
    <w:rsid w:val="004D6F7D"/>
    <w:rsid w:val="004D73D8"/>
    <w:rsid w:val="004E10CD"/>
    <w:rsid w:val="004E2B12"/>
    <w:rsid w:val="004E3511"/>
    <w:rsid w:val="004E3C8B"/>
    <w:rsid w:val="004E5727"/>
    <w:rsid w:val="004E5A8B"/>
    <w:rsid w:val="004F0CAC"/>
    <w:rsid w:val="004F1960"/>
    <w:rsid w:val="004F3D81"/>
    <w:rsid w:val="004F516B"/>
    <w:rsid w:val="004F54D6"/>
    <w:rsid w:val="004F6908"/>
    <w:rsid w:val="004F6F2D"/>
    <w:rsid w:val="004F78B1"/>
    <w:rsid w:val="00501AC4"/>
    <w:rsid w:val="005023C6"/>
    <w:rsid w:val="0050502A"/>
    <w:rsid w:val="00505DD0"/>
    <w:rsid w:val="00506C8D"/>
    <w:rsid w:val="0050786D"/>
    <w:rsid w:val="00511993"/>
    <w:rsid w:val="00512A68"/>
    <w:rsid w:val="00515918"/>
    <w:rsid w:val="00515E36"/>
    <w:rsid w:val="005167AC"/>
    <w:rsid w:val="00517391"/>
    <w:rsid w:val="0052079F"/>
    <w:rsid w:val="00520A1C"/>
    <w:rsid w:val="00521368"/>
    <w:rsid w:val="00522DE3"/>
    <w:rsid w:val="00523069"/>
    <w:rsid w:val="0052378B"/>
    <w:rsid w:val="005278E5"/>
    <w:rsid w:val="00527C87"/>
    <w:rsid w:val="005300FB"/>
    <w:rsid w:val="00531124"/>
    <w:rsid w:val="005317E2"/>
    <w:rsid w:val="005321C7"/>
    <w:rsid w:val="00532536"/>
    <w:rsid w:val="00533913"/>
    <w:rsid w:val="005343B1"/>
    <w:rsid w:val="00535B6E"/>
    <w:rsid w:val="00536404"/>
    <w:rsid w:val="005417C6"/>
    <w:rsid w:val="00542A1B"/>
    <w:rsid w:val="00544A19"/>
    <w:rsid w:val="00547219"/>
    <w:rsid w:val="00547E93"/>
    <w:rsid w:val="00550725"/>
    <w:rsid w:val="00550F1C"/>
    <w:rsid w:val="00551768"/>
    <w:rsid w:val="00551E61"/>
    <w:rsid w:val="005521DD"/>
    <w:rsid w:val="00553FF4"/>
    <w:rsid w:val="0055620D"/>
    <w:rsid w:val="00556530"/>
    <w:rsid w:val="00557347"/>
    <w:rsid w:val="00560C3E"/>
    <w:rsid w:val="00561F16"/>
    <w:rsid w:val="00562739"/>
    <w:rsid w:val="00562B3B"/>
    <w:rsid w:val="00562E8C"/>
    <w:rsid w:val="00562F00"/>
    <w:rsid w:val="005639C3"/>
    <w:rsid w:val="00564B63"/>
    <w:rsid w:val="00565575"/>
    <w:rsid w:val="00566536"/>
    <w:rsid w:val="005666C6"/>
    <w:rsid w:val="00566A05"/>
    <w:rsid w:val="00566B45"/>
    <w:rsid w:val="00567183"/>
    <w:rsid w:val="005748DD"/>
    <w:rsid w:val="00574ADF"/>
    <w:rsid w:val="00574F36"/>
    <w:rsid w:val="00575754"/>
    <w:rsid w:val="0057733F"/>
    <w:rsid w:val="00577653"/>
    <w:rsid w:val="00577FC5"/>
    <w:rsid w:val="00581C03"/>
    <w:rsid w:val="0058249B"/>
    <w:rsid w:val="005836E1"/>
    <w:rsid w:val="00584889"/>
    <w:rsid w:val="00585D94"/>
    <w:rsid w:val="00585E40"/>
    <w:rsid w:val="0058603B"/>
    <w:rsid w:val="00586FA4"/>
    <w:rsid w:val="00587040"/>
    <w:rsid w:val="005878B4"/>
    <w:rsid w:val="0059305B"/>
    <w:rsid w:val="0059527C"/>
    <w:rsid w:val="00596C5F"/>
    <w:rsid w:val="00597B26"/>
    <w:rsid w:val="005A1B51"/>
    <w:rsid w:val="005A2944"/>
    <w:rsid w:val="005A4E85"/>
    <w:rsid w:val="005A73CE"/>
    <w:rsid w:val="005A7429"/>
    <w:rsid w:val="005A75CD"/>
    <w:rsid w:val="005A770D"/>
    <w:rsid w:val="005B2352"/>
    <w:rsid w:val="005C25B4"/>
    <w:rsid w:val="005C2C9E"/>
    <w:rsid w:val="005C4B3D"/>
    <w:rsid w:val="005C57E8"/>
    <w:rsid w:val="005C5F4B"/>
    <w:rsid w:val="005D08D7"/>
    <w:rsid w:val="005D09F0"/>
    <w:rsid w:val="005D191F"/>
    <w:rsid w:val="005D20E2"/>
    <w:rsid w:val="005D2A7E"/>
    <w:rsid w:val="005D2A8A"/>
    <w:rsid w:val="005D54ED"/>
    <w:rsid w:val="005D6528"/>
    <w:rsid w:val="005D68D6"/>
    <w:rsid w:val="005D6D4B"/>
    <w:rsid w:val="005E0273"/>
    <w:rsid w:val="005E1143"/>
    <w:rsid w:val="005E18EF"/>
    <w:rsid w:val="005E269C"/>
    <w:rsid w:val="005E26E7"/>
    <w:rsid w:val="005E3907"/>
    <w:rsid w:val="005E6B05"/>
    <w:rsid w:val="005F1711"/>
    <w:rsid w:val="005F2610"/>
    <w:rsid w:val="005F2B0A"/>
    <w:rsid w:val="005F3AE6"/>
    <w:rsid w:val="005F4071"/>
    <w:rsid w:val="005F4FF4"/>
    <w:rsid w:val="005F6298"/>
    <w:rsid w:val="005F75E7"/>
    <w:rsid w:val="005F7678"/>
    <w:rsid w:val="005F7B1B"/>
    <w:rsid w:val="0060221B"/>
    <w:rsid w:val="00603865"/>
    <w:rsid w:val="00603AA0"/>
    <w:rsid w:val="00604C52"/>
    <w:rsid w:val="006057AB"/>
    <w:rsid w:val="0060596B"/>
    <w:rsid w:val="00605CD3"/>
    <w:rsid w:val="006060D0"/>
    <w:rsid w:val="00606666"/>
    <w:rsid w:val="00606823"/>
    <w:rsid w:val="00606999"/>
    <w:rsid w:val="0061104B"/>
    <w:rsid w:val="00612087"/>
    <w:rsid w:val="006141F2"/>
    <w:rsid w:val="006147C0"/>
    <w:rsid w:val="0061638E"/>
    <w:rsid w:val="00617752"/>
    <w:rsid w:val="0062131A"/>
    <w:rsid w:val="006214A4"/>
    <w:rsid w:val="006219E8"/>
    <w:rsid w:val="00621C4C"/>
    <w:rsid w:val="006227B9"/>
    <w:rsid w:val="006232D3"/>
    <w:rsid w:val="00624913"/>
    <w:rsid w:val="006263A9"/>
    <w:rsid w:val="0062652E"/>
    <w:rsid w:val="0063027B"/>
    <w:rsid w:val="006313B0"/>
    <w:rsid w:val="00631E88"/>
    <w:rsid w:val="0063226D"/>
    <w:rsid w:val="00634369"/>
    <w:rsid w:val="006350E6"/>
    <w:rsid w:val="0064222B"/>
    <w:rsid w:val="006424C6"/>
    <w:rsid w:val="00642DD1"/>
    <w:rsid w:val="00642DED"/>
    <w:rsid w:val="006433DD"/>
    <w:rsid w:val="0064486D"/>
    <w:rsid w:val="00644947"/>
    <w:rsid w:val="0064512A"/>
    <w:rsid w:val="00646BEF"/>
    <w:rsid w:val="00646EF6"/>
    <w:rsid w:val="006520D8"/>
    <w:rsid w:val="0065391E"/>
    <w:rsid w:val="006557EC"/>
    <w:rsid w:val="006610CE"/>
    <w:rsid w:val="00661420"/>
    <w:rsid w:val="006617AC"/>
    <w:rsid w:val="006642D7"/>
    <w:rsid w:val="006675ED"/>
    <w:rsid w:val="00670A6F"/>
    <w:rsid w:val="006730C2"/>
    <w:rsid w:val="00673691"/>
    <w:rsid w:val="00673D38"/>
    <w:rsid w:val="006748BC"/>
    <w:rsid w:val="00677D7C"/>
    <w:rsid w:val="0068129F"/>
    <w:rsid w:val="006838B0"/>
    <w:rsid w:val="006852DD"/>
    <w:rsid w:val="006856F8"/>
    <w:rsid w:val="0068578B"/>
    <w:rsid w:val="00685BA9"/>
    <w:rsid w:val="00685C0F"/>
    <w:rsid w:val="0068667B"/>
    <w:rsid w:val="00686ECD"/>
    <w:rsid w:val="00687ADD"/>
    <w:rsid w:val="00687D64"/>
    <w:rsid w:val="00695FE7"/>
    <w:rsid w:val="00697384"/>
    <w:rsid w:val="006B0392"/>
    <w:rsid w:val="006B1069"/>
    <w:rsid w:val="006B261F"/>
    <w:rsid w:val="006B3146"/>
    <w:rsid w:val="006B563A"/>
    <w:rsid w:val="006B6B36"/>
    <w:rsid w:val="006B75E1"/>
    <w:rsid w:val="006C1E81"/>
    <w:rsid w:val="006C37E8"/>
    <w:rsid w:val="006C5185"/>
    <w:rsid w:val="006C6AB6"/>
    <w:rsid w:val="006D13F1"/>
    <w:rsid w:val="006D14CC"/>
    <w:rsid w:val="006D1755"/>
    <w:rsid w:val="006D24A9"/>
    <w:rsid w:val="006D49EF"/>
    <w:rsid w:val="006D5EEC"/>
    <w:rsid w:val="006E0012"/>
    <w:rsid w:val="006E024D"/>
    <w:rsid w:val="006E0CA8"/>
    <w:rsid w:val="006E0FCC"/>
    <w:rsid w:val="006E4CD3"/>
    <w:rsid w:val="006E5439"/>
    <w:rsid w:val="006E6785"/>
    <w:rsid w:val="006F1368"/>
    <w:rsid w:val="006F1655"/>
    <w:rsid w:val="006F2965"/>
    <w:rsid w:val="006F298B"/>
    <w:rsid w:val="006F3F7D"/>
    <w:rsid w:val="006F644F"/>
    <w:rsid w:val="006F66D3"/>
    <w:rsid w:val="006F6925"/>
    <w:rsid w:val="006F722C"/>
    <w:rsid w:val="006F78D8"/>
    <w:rsid w:val="00700863"/>
    <w:rsid w:val="0070130C"/>
    <w:rsid w:val="00702CFF"/>
    <w:rsid w:val="00705550"/>
    <w:rsid w:val="007057CB"/>
    <w:rsid w:val="00706699"/>
    <w:rsid w:val="00706A4D"/>
    <w:rsid w:val="0071110A"/>
    <w:rsid w:val="00713716"/>
    <w:rsid w:val="00716E95"/>
    <w:rsid w:val="007170B3"/>
    <w:rsid w:val="00720A36"/>
    <w:rsid w:val="00720A3C"/>
    <w:rsid w:val="00720D3D"/>
    <w:rsid w:val="00722CC7"/>
    <w:rsid w:val="00723E25"/>
    <w:rsid w:val="00723E71"/>
    <w:rsid w:val="007256CC"/>
    <w:rsid w:val="007266A4"/>
    <w:rsid w:val="00726D94"/>
    <w:rsid w:val="00732310"/>
    <w:rsid w:val="00732C42"/>
    <w:rsid w:val="00733859"/>
    <w:rsid w:val="00734A21"/>
    <w:rsid w:val="00734F88"/>
    <w:rsid w:val="007351FD"/>
    <w:rsid w:val="00737051"/>
    <w:rsid w:val="00737290"/>
    <w:rsid w:val="00741E83"/>
    <w:rsid w:val="007437DE"/>
    <w:rsid w:val="00744F0A"/>
    <w:rsid w:val="00746832"/>
    <w:rsid w:val="00747347"/>
    <w:rsid w:val="007475D3"/>
    <w:rsid w:val="00747EA9"/>
    <w:rsid w:val="0075074D"/>
    <w:rsid w:val="00750B2F"/>
    <w:rsid w:val="00751287"/>
    <w:rsid w:val="00755278"/>
    <w:rsid w:val="00755882"/>
    <w:rsid w:val="00756A66"/>
    <w:rsid w:val="007579D6"/>
    <w:rsid w:val="007602E1"/>
    <w:rsid w:val="007609A7"/>
    <w:rsid w:val="007623EB"/>
    <w:rsid w:val="00763326"/>
    <w:rsid w:val="00763622"/>
    <w:rsid w:val="00764F31"/>
    <w:rsid w:val="00765842"/>
    <w:rsid w:val="00771AA5"/>
    <w:rsid w:val="00773106"/>
    <w:rsid w:val="00773E09"/>
    <w:rsid w:val="00774551"/>
    <w:rsid w:val="007823AE"/>
    <w:rsid w:val="007825D8"/>
    <w:rsid w:val="007875BF"/>
    <w:rsid w:val="00791744"/>
    <w:rsid w:val="00791870"/>
    <w:rsid w:val="00792489"/>
    <w:rsid w:val="00792FDF"/>
    <w:rsid w:val="00796427"/>
    <w:rsid w:val="007A03BF"/>
    <w:rsid w:val="007A0F2D"/>
    <w:rsid w:val="007A1F7E"/>
    <w:rsid w:val="007A44DF"/>
    <w:rsid w:val="007A4A3B"/>
    <w:rsid w:val="007B01A6"/>
    <w:rsid w:val="007B04B8"/>
    <w:rsid w:val="007B1820"/>
    <w:rsid w:val="007B346D"/>
    <w:rsid w:val="007B3A46"/>
    <w:rsid w:val="007C094E"/>
    <w:rsid w:val="007C0E4C"/>
    <w:rsid w:val="007C152D"/>
    <w:rsid w:val="007C2E21"/>
    <w:rsid w:val="007C3B96"/>
    <w:rsid w:val="007C3C01"/>
    <w:rsid w:val="007C464B"/>
    <w:rsid w:val="007C5318"/>
    <w:rsid w:val="007C6516"/>
    <w:rsid w:val="007D0C0B"/>
    <w:rsid w:val="007D1111"/>
    <w:rsid w:val="007D1D40"/>
    <w:rsid w:val="007D3743"/>
    <w:rsid w:val="007D382A"/>
    <w:rsid w:val="007D5B1E"/>
    <w:rsid w:val="007D677C"/>
    <w:rsid w:val="007D735D"/>
    <w:rsid w:val="007E1552"/>
    <w:rsid w:val="007E2D4A"/>
    <w:rsid w:val="007E33C5"/>
    <w:rsid w:val="007E682F"/>
    <w:rsid w:val="007E77CB"/>
    <w:rsid w:val="007F0F6F"/>
    <w:rsid w:val="007F1A76"/>
    <w:rsid w:val="007F1BA9"/>
    <w:rsid w:val="007F6017"/>
    <w:rsid w:val="00800656"/>
    <w:rsid w:val="00801469"/>
    <w:rsid w:val="00806C9A"/>
    <w:rsid w:val="00807A6D"/>
    <w:rsid w:val="00812C50"/>
    <w:rsid w:val="00813176"/>
    <w:rsid w:val="00813595"/>
    <w:rsid w:val="00813AA6"/>
    <w:rsid w:val="00814704"/>
    <w:rsid w:val="00815527"/>
    <w:rsid w:val="00816A23"/>
    <w:rsid w:val="00817F68"/>
    <w:rsid w:val="008202FF"/>
    <w:rsid w:val="00820B22"/>
    <w:rsid w:val="00823254"/>
    <w:rsid w:val="00826DF6"/>
    <w:rsid w:val="008271CF"/>
    <w:rsid w:val="00827588"/>
    <w:rsid w:val="00831D2A"/>
    <w:rsid w:val="00832026"/>
    <w:rsid w:val="008326B5"/>
    <w:rsid w:val="008333E2"/>
    <w:rsid w:val="00833BBD"/>
    <w:rsid w:val="00833FAD"/>
    <w:rsid w:val="00834125"/>
    <w:rsid w:val="0083419D"/>
    <w:rsid w:val="00835DA8"/>
    <w:rsid w:val="008402EE"/>
    <w:rsid w:val="008421C5"/>
    <w:rsid w:val="00842707"/>
    <w:rsid w:val="00842A4B"/>
    <w:rsid w:val="00843541"/>
    <w:rsid w:val="0084445F"/>
    <w:rsid w:val="00844750"/>
    <w:rsid w:val="00845816"/>
    <w:rsid w:val="00846D3D"/>
    <w:rsid w:val="008470C8"/>
    <w:rsid w:val="00847DB6"/>
    <w:rsid w:val="0085065A"/>
    <w:rsid w:val="00850861"/>
    <w:rsid w:val="00850D88"/>
    <w:rsid w:val="00851613"/>
    <w:rsid w:val="008516B7"/>
    <w:rsid w:val="00853D9F"/>
    <w:rsid w:val="008543B0"/>
    <w:rsid w:val="008546C1"/>
    <w:rsid w:val="008549B9"/>
    <w:rsid w:val="00855963"/>
    <w:rsid w:val="008569EE"/>
    <w:rsid w:val="0085701F"/>
    <w:rsid w:val="00857225"/>
    <w:rsid w:val="00860148"/>
    <w:rsid w:val="00860C43"/>
    <w:rsid w:val="0086175F"/>
    <w:rsid w:val="00861CA0"/>
    <w:rsid w:val="008631C8"/>
    <w:rsid w:val="00863D2B"/>
    <w:rsid w:val="00865544"/>
    <w:rsid w:val="008661E9"/>
    <w:rsid w:val="008661F7"/>
    <w:rsid w:val="00866D56"/>
    <w:rsid w:val="00866F90"/>
    <w:rsid w:val="00867A26"/>
    <w:rsid w:val="00872C46"/>
    <w:rsid w:val="00877150"/>
    <w:rsid w:val="008774EF"/>
    <w:rsid w:val="00880228"/>
    <w:rsid w:val="008807A0"/>
    <w:rsid w:val="008808B6"/>
    <w:rsid w:val="00880D24"/>
    <w:rsid w:val="00880F46"/>
    <w:rsid w:val="00882EC5"/>
    <w:rsid w:val="00883295"/>
    <w:rsid w:val="0088431C"/>
    <w:rsid w:val="0088531D"/>
    <w:rsid w:val="00885803"/>
    <w:rsid w:val="00885DEE"/>
    <w:rsid w:val="0089495C"/>
    <w:rsid w:val="00895FCA"/>
    <w:rsid w:val="00896434"/>
    <w:rsid w:val="00896D88"/>
    <w:rsid w:val="00897043"/>
    <w:rsid w:val="00897393"/>
    <w:rsid w:val="008A1672"/>
    <w:rsid w:val="008A1B38"/>
    <w:rsid w:val="008A1D37"/>
    <w:rsid w:val="008A28F3"/>
    <w:rsid w:val="008A5229"/>
    <w:rsid w:val="008A725C"/>
    <w:rsid w:val="008A7762"/>
    <w:rsid w:val="008B3C5E"/>
    <w:rsid w:val="008B4B2D"/>
    <w:rsid w:val="008B67BF"/>
    <w:rsid w:val="008B6F56"/>
    <w:rsid w:val="008C1554"/>
    <w:rsid w:val="008C15EB"/>
    <w:rsid w:val="008C21E8"/>
    <w:rsid w:val="008C4F1F"/>
    <w:rsid w:val="008D0FBB"/>
    <w:rsid w:val="008D1FD0"/>
    <w:rsid w:val="008D34E0"/>
    <w:rsid w:val="008D3DF8"/>
    <w:rsid w:val="008E0080"/>
    <w:rsid w:val="008E0C57"/>
    <w:rsid w:val="008E29AE"/>
    <w:rsid w:val="008E2D9B"/>
    <w:rsid w:val="008E3168"/>
    <w:rsid w:val="008E3517"/>
    <w:rsid w:val="008E6C93"/>
    <w:rsid w:val="008E7C4F"/>
    <w:rsid w:val="008F0AFD"/>
    <w:rsid w:val="008F3752"/>
    <w:rsid w:val="008F5300"/>
    <w:rsid w:val="008F7ABC"/>
    <w:rsid w:val="00901053"/>
    <w:rsid w:val="00901191"/>
    <w:rsid w:val="00901C91"/>
    <w:rsid w:val="009044FB"/>
    <w:rsid w:val="00905442"/>
    <w:rsid w:val="009102CA"/>
    <w:rsid w:val="0091121B"/>
    <w:rsid w:val="009113D3"/>
    <w:rsid w:val="00912041"/>
    <w:rsid w:val="0091243B"/>
    <w:rsid w:val="00914750"/>
    <w:rsid w:val="00924BBF"/>
    <w:rsid w:val="009252B6"/>
    <w:rsid w:val="00925927"/>
    <w:rsid w:val="00926035"/>
    <w:rsid w:val="0092797E"/>
    <w:rsid w:val="00930043"/>
    <w:rsid w:val="00930794"/>
    <w:rsid w:val="00930B07"/>
    <w:rsid w:val="0093189C"/>
    <w:rsid w:val="009326EE"/>
    <w:rsid w:val="0093297B"/>
    <w:rsid w:val="00932B10"/>
    <w:rsid w:val="00932C44"/>
    <w:rsid w:val="0093450D"/>
    <w:rsid w:val="00934D07"/>
    <w:rsid w:val="00934D88"/>
    <w:rsid w:val="00935FD5"/>
    <w:rsid w:val="0094189A"/>
    <w:rsid w:val="00942938"/>
    <w:rsid w:val="00944BA6"/>
    <w:rsid w:val="009451F3"/>
    <w:rsid w:val="00945EBE"/>
    <w:rsid w:val="00946989"/>
    <w:rsid w:val="00947370"/>
    <w:rsid w:val="00952299"/>
    <w:rsid w:val="0095307B"/>
    <w:rsid w:val="00957946"/>
    <w:rsid w:val="00960547"/>
    <w:rsid w:val="0096188B"/>
    <w:rsid w:val="009618AE"/>
    <w:rsid w:val="00962346"/>
    <w:rsid w:val="00963355"/>
    <w:rsid w:val="009639ED"/>
    <w:rsid w:val="00963DF3"/>
    <w:rsid w:val="00971076"/>
    <w:rsid w:val="009714D7"/>
    <w:rsid w:val="00972F44"/>
    <w:rsid w:val="00974191"/>
    <w:rsid w:val="00976510"/>
    <w:rsid w:val="00980514"/>
    <w:rsid w:val="00981D9A"/>
    <w:rsid w:val="0098462F"/>
    <w:rsid w:val="00986C86"/>
    <w:rsid w:val="0098715D"/>
    <w:rsid w:val="00987748"/>
    <w:rsid w:val="009921F6"/>
    <w:rsid w:val="009A08D4"/>
    <w:rsid w:val="009A11F2"/>
    <w:rsid w:val="009A69B3"/>
    <w:rsid w:val="009B0364"/>
    <w:rsid w:val="009B09D9"/>
    <w:rsid w:val="009B1A66"/>
    <w:rsid w:val="009B1DC2"/>
    <w:rsid w:val="009B4DCC"/>
    <w:rsid w:val="009B71E1"/>
    <w:rsid w:val="009B7A36"/>
    <w:rsid w:val="009C0406"/>
    <w:rsid w:val="009C148E"/>
    <w:rsid w:val="009C2F90"/>
    <w:rsid w:val="009C335B"/>
    <w:rsid w:val="009C5376"/>
    <w:rsid w:val="009C7673"/>
    <w:rsid w:val="009C7692"/>
    <w:rsid w:val="009D1756"/>
    <w:rsid w:val="009D18A8"/>
    <w:rsid w:val="009D273B"/>
    <w:rsid w:val="009D3C46"/>
    <w:rsid w:val="009E07B7"/>
    <w:rsid w:val="009E0CDE"/>
    <w:rsid w:val="009E0D60"/>
    <w:rsid w:val="009E28C2"/>
    <w:rsid w:val="009E35EE"/>
    <w:rsid w:val="009E3753"/>
    <w:rsid w:val="009E3AED"/>
    <w:rsid w:val="009E69A4"/>
    <w:rsid w:val="009E6A95"/>
    <w:rsid w:val="009E75B7"/>
    <w:rsid w:val="009E7908"/>
    <w:rsid w:val="009E7EAE"/>
    <w:rsid w:val="009F0B84"/>
    <w:rsid w:val="009F1DD0"/>
    <w:rsid w:val="009F429F"/>
    <w:rsid w:val="009F4B92"/>
    <w:rsid w:val="009F5000"/>
    <w:rsid w:val="009F70B2"/>
    <w:rsid w:val="00A01DBE"/>
    <w:rsid w:val="00A022E1"/>
    <w:rsid w:val="00A02D01"/>
    <w:rsid w:val="00A04C22"/>
    <w:rsid w:val="00A0635D"/>
    <w:rsid w:val="00A064EB"/>
    <w:rsid w:val="00A1387F"/>
    <w:rsid w:val="00A1407E"/>
    <w:rsid w:val="00A14431"/>
    <w:rsid w:val="00A1480D"/>
    <w:rsid w:val="00A14F55"/>
    <w:rsid w:val="00A15111"/>
    <w:rsid w:val="00A16925"/>
    <w:rsid w:val="00A172BC"/>
    <w:rsid w:val="00A1739F"/>
    <w:rsid w:val="00A201F6"/>
    <w:rsid w:val="00A23D79"/>
    <w:rsid w:val="00A24EF1"/>
    <w:rsid w:val="00A25BC9"/>
    <w:rsid w:val="00A26E98"/>
    <w:rsid w:val="00A30433"/>
    <w:rsid w:val="00A334D9"/>
    <w:rsid w:val="00A35478"/>
    <w:rsid w:val="00A360E3"/>
    <w:rsid w:val="00A36EB0"/>
    <w:rsid w:val="00A37315"/>
    <w:rsid w:val="00A376CD"/>
    <w:rsid w:val="00A37A46"/>
    <w:rsid w:val="00A41689"/>
    <w:rsid w:val="00A43E3D"/>
    <w:rsid w:val="00A45301"/>
    <w:rsid w:val="00A529CE"/>
    <w:rsid w:val="00A53687"/>
    <w:rsid w:val="00A5453A"/>
    <w:rsid w:val="00A551B0"/>
    <w:rsid w:val="00A5655D"/>
    <w:rsid w:val="00A569DB"/>
    <w:rsid w:val="00A606F1"/>
    <w:rsid w:val="00A614BA"/>
    <w:rsid w:val="00A615F4"/>
    <w:rsid w:val="00A629FC"/>
    <w:rsid w:val="00A65188"/>
    <w:rsid w:val="00A66BBF"/>
    <w:rsid w:val="00A66E64"/>
    <w:rsid w:val="00A71AA6"/>
    <w:rsid w:val="00A71ABF"/>
    <w:rsid w:val="00A72B4A"/>
    <w:rsid w:val="00A72FF5"/>
    <w:rsid w:val="00A73754"/>
    <w:rsid w:val="00A738AB"/>
    <w:rsid w:val="00A73B80"/>
    <w:rsid w:val="00A73F1F"/>
    <w:rsid w:val="00A74447"/>
    <w:rsid w:val="00A800CC"/>
    <w:rsid w:val="00A81AB4"/>
    <w:rsid w:val="00A81AC9"/>
    <w:rsid w:val="00A83B03"/>
    <w:rsid w:val="00A849D5"/>
    <w:rsid w:val="00A84A39"/>
    <w:rsid w:val="00A87EB8"/>
    <w:rsid w:val="00A9188B"/>
    <w:rsid w:val="00A93E4F"/>
    <w:rsid w:val="00A944BD"/>
    <w:rsid w:val="00A9466B"/>
    <w:rsid w:val="00A95CB9"/>
    <w:rsid w:val="00A95FCA"/>
    <w:rsid w:val="00A9646F"/>
    <w:rsid w:val="00A97D1C"/>
    <w:rsid w:val="00AA04E2"/>
    <w:rsid w:val="00AA099C"/>
    <w:rsid w:val="00AA0A46"/>
    <w:rsid w:val="00AA0D2B"/>
    <w:rsid w:val="00AA15E3"/>
    <w:rsid w:val="00AA3915"/>
    <w:rsid w:val="00AA5D4E"/>
    <w:rsid w:val="00AA7926"/>
    <w:rsid w:val="00AB0559"/>
    <w:rsid w:val="00AB17D8"/>
    <w:rsid w:val="00AB35E9"/>
    <w:rsid w:val="00AB3FDD"/>
    <w:rsid w:val="00AB44DD"/>
    <w:rsid w:val="00AB4A78"/>
    <w:rsid w:val="00AB7C6F"/>
    <w:rsid w:val="00AB7FD1"/>
    <w:rsid w:val="00AC0016"/>
    <w:rsid w:val="00AC16D7"/>
    <w:rsid w:val="00AC18D3"/>
    <w:rsid w:val="00AC2E2E"/>
    <w:rsid w:val="00AC57A5"/>
    <w:rsid w:val="00AC586B"/>
    <w:rsid w:val="00AC5960"/>
    <w:rsid w:val="00AC5E28"/>
    <w:rsid w:val="00AC60C8"/>
    <w:rsid w:val="00AC64C3"/>
    <w:rsid w:val="00AC6B5B"/>
    <w:rsid w:val="00AC6DAC"/>
    <w:rsid w:val="00AC6FB4"/>
    <w:rsid w:val="00AC76A3"/>
    <w:rsid w:val="00AD0EFC"/>
    <w:rsid w:val="00AD2DC2"/>
    <w:rsid w:val="00AD4A66"/>
    <w:rsid w:val="00AD5EE5"/>
    <w:rsid w:val="00AD7E04"/>
    <w:rsid w:val="00AE04FE"/>
    <w:rsid w:val="00AE06EF"/>
    <w:rsid w:val="00AE07B5"/>
    <w:rsid w:val="00AE3465"/>
    <w:rsid w:val="00AE5CDE"/>
    <w:rsid w:val="00AE6AF0"/>
    <w:rsid w:val="00AE7CA5"/>
    <w:rsid w:val="00AF2B34"/>
    <w:rsid w:val="00AF372F"/>
    <w:rsid w:val="00AF3A31"/>
    <w:rsid w:val="00AF4053"/>
    <w:rsid w:val="00AF4137"/>
    <w:rsid w:val="00AF43E9"/>
    <w:rsid w:val="00AF678A"/>
    <w:rsid w:val="00B010B2"/>
    <w:rsid w:val="00B07967"/>
    <w:rsid w:val="00B07C86"/>
    <w:rsid w:val="00B12017"/>
    <w:rsid w:val="00B132F3"/>
    <w:rsid w:val="00B13451"/>
    <w:rsid w:val="00B15F4E"/>
    <w:rsid w:val="00B174A8"/>
    <w:rsid w:val="00B17E98"/>
    <w:rsid w:val="00B21DAE"/>
    <w:rsid w:val="00B220F0"/>
    <w:rsid w:val="00B22F60"/>
    <w:rsid w:val="00B234F9"/>
    <w:rsid w:val="00B2431B"/>
    <w:rsid w:val="00B30BB5"/>
    <w:rsid w:val="00B3267C"/>
    <w:rsid w:val="00B3382B"/>
    <w:rsid w:val="00B35E14"/>
    <w:rsid w:val="00B35F82"/>
    <w:rsid w:val="00B401B2"/>
    <w:rsid w:val="00B41D73"/>
    <w:rsid w:val="00B4252C"/>
    <w:rsid w:val="00B43097"/>
    <w:rsid w:val="00B459D3"/>
    <w:rsid w:val="00B46037"/>
    <w:rsid w:val="00B46900"/>
    <w:rsid w:val="00B46A86"/>
    <w:rsid w:val="00B46EA6"/>
    <w:rsid w:val="00B473F3"/>
    <w:rsid w:val="00B47B24"/>
    <w:rsid w:val="00B50294"/>
    <w:rsid w:val="00B507C3"/>
    <w:rsid w:val="00B511BE"/>
    <w:rsid w:val="00B519A3"/>
    <w:rsid w:val="00B51C3B"/>
    <w:rsid w:val="00B549AA"/>
    <w:rsid w:val="00B55105"/>
    <w:rsid w:val="00B566AD"/>
    <w:rsid w:val="00B625BE"/>
    <w:rsid w:val="00B627D7"/>
    <w:rsid w:val="00B6383B"/>
    <w:rsid w:val="00B71743"/>
    <w:rsid w:val="00B7272B"/>
    <w:rsid w:val="00B72C7D"/>
    <w:rsid w:val="00B73494"/>
    <w:rsid w:val="00B74EEE"/>
    <w:rsid w:val="00B75AFB"/>
    <w:rsid w:val="00B80F4A"/>
    <w:rsid w:val="00B81C93"/>
    <w:rsid w:val="00B82345"/>
    <w:rsid w:val="00B82903"/>
    <w:rsid w:val="00B846E9"/>
    <w:rsid w:val="00B84DDF"/>
    <w:rsid w:val="00B8510B"/>
    <w:rsid w:val="00B86282"/>
    <w:rsid w:val="00B86331"/>
    <w:rsid w:val="00B90746"/>
    <w:rsid w:val="00B90FE8"/>
    <w:rsid w:val="00B91ED5"/>
    <w:rsid w:val="00B92A7E"/>
    <w:rsid w:val="00B92BE5"/>
    <w:rsid w:val="00B930EE"/>
    <w:rsid w:val="00B93250"/>
    <w:rsid w:val="00B94462"/>
    <w:rsid w:val="00B94952"/>
    <w:rsid w:val="00B96022"/>
    <w:rsid w:val="00B97342"/>
    <w:rsid w:val="00B977FE"/>
    <w:rsid w:val="00BA0EF8"/>
    <w:rsid w:val="00BA19AA"/>
    <w:rsid w:val="00BA1DDA"/>
    <w:rsid w:val="00BA2BC1"/>
    <w:rsid w:val="00BA32BA"/>
    <w:rsid w:val="00BA3599"/>
    <w:rsid w:val="00BA47B6"/>
    <w:rsid w:val="00BA5930"/>
    <w:rsid w:val="00BA59AD"/>
    <w:rsid w:val="00BA64AA"/>
    <w:rsid w:val="00BA6634"/>
    <w:rsid w:val="00BA687C"/>
    <w:rsid w:val="00BB18DA"/>
    <w:rsid w:val="00BB34E1"/>
    <w:rsid w:val="00BB36A3"/>
    <w:rsid w:val="00BB553B"/>
    <w:rsid w:val="00BB66A7"/>
    <w:rsid w:val="00BB6B25"/>
    <w:rsid w:val="00BB6BB6"/>
    <w:rsid w:val="00BB750B"/>
    <w:rsid w:val="00BB7B2B"/>
    <w:rsid w:val="00BC0EEB"/>
    <w:rsid w:val="00BC1039"/>
    <w:rsid w:val="00BC3A09"/>
    <w:rsid w:val="00BC494B"/>
    <w:rsid w:val="00BC4B10"/>
    <w:rsid w:val="00BC4CA4"/>
    <w:rsid w:val="00BC522F"/>
    <w:rsid w:val="00BC55C3"/>
    <w:rsid w:val="00BC70E0"/>
    <w:rsid w:val="00BC756F"/>
    <w:rsid w:val="00BD18A8"/>
    <w:rsid w:val="00BD29AF"/>
    <w:rsid w:val="00BD2E30"/>
    <w:rsid w:val="00BD2E5A"/>
    <w:rsid w:val="00BD36C3"/>
    <w:rsid w:val="00BD7791"/>
    <w:rsid w:val="00BE14CD"/>
    <w:rsid w:val="00BE2680"/>
    <w:rsid w:val="00BE28F7"/>
    <w:rsid w:val="00BE41D3"/>
    <w:rsid w:val="00BE45AA"/>
    <w:rsid w:val="00BE4DED"/>
    <w:rsid w:val="00BE5D86"/>
    <w:rsid w:val="00BE67C1"/>
    <w:rsid w:val="00BE7A9F"/>
    <w:rsid w:val="00BE7AC8"/>
    <w:rsid w:val="00BF08AA"/>
    <w:rsid w:val="00BF0CC8"/>
    <w:rsid w:val="00BF6163"/>
    <w:rsid w:val="00C00463"/>
    <w:rsid w:val="00C01747"/>
    <w:rsid w:val="00C02C67"/>
    <w:rsid w:val="00C05CBB"/>
    <w:rsid w:val="00C05E3E"/>
    <w:rsid w:val="00C07410"/>
    <w:rsid w:val="00C07595"/>
    <w:rsid w:val="00C1012A"/>
    <w:rsid w:val="00C11AB1"/>
    <w:rsid w:val="00C2029F"/>
    <w:rsid w:val="00C218B6"/>
    <w:rsid w:val="00C225DA"/>
    <w:rsid w:val="00C27C60"/>
    <w:rsid w:val="00C31870"/>
    <w:rsid w:val="00C322E9"/>
    <w:rsid w:val="00C33E3A"/>
    <w:rsid w:val="00C33E7F"/>
    <w:rsid w:val="00C343EB"/>
    <w:rsid w:val="00C41003"/>
    <w:rsid w:val="00C42487"/>
    <w:rsid w:val="00C428E7"/>
    <w:rsid w:val="00C42DC4"/>
    <w:rsid w:val="00C44132"/>
    <w:rsid w:val="00C45460"/>
    <w:rsid w:val="00C46A94"/>
    <w:rsid w:val="00C46C59"/>
    <w:rsid w:val="00C473F7"/>
    <w:rsid w:val="00C4773F"/>
    <w:rsid w:val="00C519BC"/>
    <w:rsid w:val="00C53026"/>
    <w:rsid w:val="00C533D9"/>
    <w:rsid w:val="00C53A83"/>
    <w:rsid w:val="00C53FF4"/>
    <w:rsid w:val="00C545B5"/>
    <w:rsid w:val="00C55613"/>
    <w:rsid w:val="00C57C06"/>
    <w:rsid w:val="00C610B8"/>
    <w:rsid w:val="00C63114"/>
    <w:rsid w:val="00C63E35"/>
    <w:rsid w:val="00C642E7"/>
    <w:rsid w:val="00C644C3"/>
    <w:rsid w:val="00C64C6E"/>
    <w:rsid w:val="00C657B5"/>
    <w:rsid w:val="00C679FD"/>
    <w:rsid w:val="00C67D12"/>
    <w:rsid w:val="00C72A32"/>
    <w:rsid w:val="00C73C38"/>
    <w:rsid w:val="00C7411B"/>
    <w:rsid w:val="00C7478C"/>
    <w:rsid w:val="00C74948"/>
    <w:rsid w:val="00C74BC7"/>
    <w:rsid w:val="00C75403"/>
    <w:rsid w:val="00C75D59"/>
    <w:rsid w:val="00C75FF3"/>
    <w:rsid w:val="00C76377"/>
    <w:rsid w:val="00C76D0B"/>
    <w:rsid w:val="00C770B4"/>
    <w:rsid w:val="00C77953"/>
    <w:rsid w:val="00C81B3D"/>
    <w:rsid w:val="00C82B32"/>
    <w:rsid w:val="00C85DCC"/>
    <w:rsid w:val="00C874EC"/>
    <w:rsid w:val="00C87FE4"/>
    <w:rsid w:val="00C93A24"/>
    <w:rsid w:val="00C941A0"/>
    <w:rsid w:val="00C95207"/>
    <w:rsid w:val="00C9530D"/>
    <w:rsid w:val="00CA2C40"/>
    <w:rsid w:val="00CA36F6"/>
    <w:rsid w:val="00CA6493"/>
    <w:rsid w:val="00CA6515"/>
    <w:rsid w:val="00CA6E57"/>
    <w:rsid w:val="00CA72E4"/>
    <w:rsid w:val="00CB325E"/>
    <w:rsid w:val="00CB409F"/>
    <w:rsid w:val="00CB5EF0"/>
    <w:rsid w:val="00CC1114"/>
    <w:rsid w:val="00CC1C06"/>
    <w:rsid w:val="00CC2323"/>
    <w:rsid w:val="00CC2E79"/>
    <w:rsid w:val="00CC4C46"/>
    <w:rsid w:val="00CC5A0F"/>
    <w:rsid w:val="00CC60D6"/>
    <w:rsid w:val="00CC692C"/>
    <w:rsid w:val="00CD0811"/>
    <w:rsid w:val="00CD0A79"/>
    <w:rsid w:val="00CD0D66"/>
    <w:rsid w:val="00CD0F3C"/>
    <w:rsid w:val="00CD15B0"/>
    <w:rsid w:val="00CD1939"/>
    <w:rsid w:val="00CD2742"/>
    <w:rsid w:val="00CD2982"/>
    <w:rsid w:val="00CD46E4"/>
    <w:rsid w:val="00CD5ACB"/>
    <w:rsid w:val="00CD7321"/>
    <w:rsid w:val="00CD775B"/>
    <w:rsid w:val="00CE1792"/>
    <w:rsid w:val="00CE21EA"/>
    <w:rsid w:val="00CE3517"/>
    <w:rsid w:val="00CE434B"/>
    <w:rsid w:val="00CE60ED"/>
    <w:rsid w:val="00CE6AF2"/>
    <w:rsid w:val="00CE76A4"/>
    <w:rsid w:val="00CE7984"/>
    <w:rsid w:val="00CF0175"/>
    <w:rsid w:val="00CF1AD5"/>
    <w:rsid w:val="00CF277E"/>
    <w:rsid w:val="00CF3E2E"/>
    <w:rsid w:val="00CF41EE"/>
    <w:rsid w:val="00CF4CBE"/>
    <w:rsid w:val="00CF4EBA"/>
    <w:rsid w:val="00CF5F69"/>
    <w:rsid w:val="00CF74E7"/>
    <w:rsid w:val="00D0011B"/>
    <w:rsid w:val="00D0181D"/>
    <w:rsid w:val="00D02EEB"/>
    <w:rsid w:val="00D04477"/>
    <w:rsid w:val="00D05DD8"/>
    <w:rsid w:val="00D05E13"/>
    <w:rsid w:val="00D07987"/>
    <w:rsid w:val="00D10556"/>
    <w:rsid w:val="00D11A8C"/>
    <w:rsid w:val="00D11FFB"/>
    <w:rsid w:val="00D13BFE"/>
    <w:rsid w:val="00D17683"/>
    <w:rsid w:val="00D17882"/>
    <w:rsid w:val="00D2048D"/>
    <w:rsid w:val="00D20EB2"/>
    <w:rsid w:val="00D210E6"/>
    <w:rsid w:val="00D22ED6"/>
    <w:rsid w:val="00D26AD9"/>
    <w:rsid w:val="00D2711A"/>
    <w:rsid w:val="00D30D0E"/>
    <w:rsid w:val="00D31FBF"/>
    <w:rsid w:val="00D329C4"/>
    <w:rsid w:val="00D35D5D"/>
    <w:rsid w:val="00D363CE"/>
    <w:rsid w:val="00D364C9"/>
    <w:rsid w:val="00D365CD"/>
    <w:rsid w:val="00D37B15"/>
    <w:rsid w:val="00D40284"/>
    <w:rsid w:val="00D42A84"/>
    <w:rsid w:val="00D43CDA"/>
    <w:rsid w:val="00D44106"/>
    <w:rsid w:val="00D4451B"/>
    <w:rsid w:val="00D44592"/>
    <w:rsid w:val="00D537B3"/>
    <w:rsid w:val="00D5511B"/>
    <w:rsid w:val="00D558C4"/>
    <w:rsid w:val="00D56172"/>
    <w:rsid w:val="00D61557"/>
    <w:rsid w:val="00D62E72"/>
    <w:rsid w:val="00D62FFF"/>
    <w:rsid w:val="00D65744"/>
    <w:rsid w:val="00D657E3"/>
    <w:rsid w:val="00D659D3"/>
    <w:rsid w:val="00D715ED"/>
    <w:rsid w:val="00D71861"/>
    <w:rsid w:val="00D72B44"/>
    <w:rsid w:val="00D7377F"/>
    <w:rsid w:val="00D7570D"/>
    <w:rsid w:val="00D75B90"/>
    <w:rsid w:val="00D76A8B"/>
    <w:rsid w:val="00D804DF"/>
    <w:rsid w:val="00D84659"/>
    <w:rsid w:val="00D846DB"/>
    <w:rsid w:val="00D85205"/>
    <w:rsid w:val="00D85A53"/>
    <w:rsid w:val="00D91C2D"/>
    <w:rsid w:val="00D9206B"/>
    <w:rsid w:val="00D92310"/>
    <w:rsid w:val="00D9397E"/>
    <w:rsid w:val="00D93B8E"/>
    <w:rsid w:val="00DA122D"/>
    <w:rsid w:val="00DA1811"/>
    <w:rsid w:val="00DA1AFF"/>
    <w:rsid w:val="00DA20FA"/>
    <w:rsid w:val="00DA2B7C"/>
    <w:rsid w:val="00DA2D62"/>
    <w:rsid w:val="00DA699A"/>
    <w:rsid w:val="00DB023E"/>
    <w:rsid w:val="00DB19B4"/>
    <w:rsid w:val="00DB39A2"/>
    <w:rsid w:val="00DB48AB"/>
    <w:rsid w:val="00DB5ADA"/>
    <w:rsid w:val="00DC089F"/>
    <w:rsid w:val="00DC0E00"/>
    <w:rsid w:val="00DC21C5"/>
    <w:rsid w:val="00DC2CEC"/>
    <w:rsid w:val="00DC5258"/>
    <w:rsid w:val="00DC5300"/>
    <w:rsid w:val="00DC7135"/>
    <w:rsid w:val="00DD1359"/>
    <w:rsid w:val="00DD136F"/>
    <w:rsid w:val="00DD2B3F"/>
    <w:rsid w:val="00DD3D36"/>
    <w:rsid w:val="00DD5D59"/>
    <w:rsid w:val="00DD7944"/>
    <w:rsid w:val="00DD79D8"/>
    <w:rsid w:val="00DD7BBE"/>
    <w:rsid w:val="00DE2C16"/>
    <w:rsid w:val="00DE3161"/>
    <w:rsid w:val="00DE34B5"/>
    <w:rsid w:val="00DE36D9"/>
    <w:rsid w:val="00DE4189"/>
    <w:rsid w:val="00DE4ED8"/>
    <w:rsid w:val="00DE79DD"/>
    <w:rsid w:val="00DE7B4D"/>
    <w:rsid w:val="00DF0201"/>
    <w:rsid w:val="00DF2C21"/>
    <w:rsid w:val="00DF2D93"/>
    <w:rsid w:val="00DF78C2"/>
    <w:rsid w:val="00E01283"/>
    <w:rsid w:val="00E02877"/>
    <w:rsid w:val="00E039C4"/>
    <w:rsid w:val="00E03FA4"/>
    <w:rsid w:val="00E0450A"/>
    <w:rsid w:val="00E04EB6"/>
    <w:rsid w:val="00E06C6E"/>
    <w:rsid w:val="00E06E90"/>
    <w:rsid w:val="00E104A7"/>
    <w:rsid w:val="00E1262F"/>
    <w:rsid w:val="00E13F49"/>
    <w:rsid w:val="00E141B3"/>
    <w:rsid w:val="00E205AA"/>
    <w:rsid w:val="00E216E2"/>
    <w:rsid w:val="00E2454E"/>
    <w:rsid w:val="00E25078"/>
    <w:rsid w:val="00E26309"/>
    <w:rsid w:val="00E2632B"/>
    <w:rsid w:val="00E27074"/>
    <w:rsid w:val="00E310CD"/>
    <w:rsid w:val="00E31FFF"/>
    <w:rsid w:val="00E326F0"/>
    <w:rsid w:val="00E34A1E"/>
    <w:rsid w:val="00E34F73"/>
    <w:rsid w:val="00E40110"/>
    <w:rsid w:val="00E44437"/>
    <w:rsid w:val="00E45558"/>
    <w:rsid w:val="00E45AE5"/>
    <w:rsid w:val="00E51C37"/>
    <w:rsid w:val="00E52013"/>
    <w:rsid w:val="00E529BD"/>
    <w:rsid w:val="00E52A92"/>
    <w:rsid w:val="00E53C3C"/>
    <w:rsid w:val="00E5473B"/>
    <w:rsid w:val="00E55D3D"/>
    <w:rsid w:val="00E60497"/>
    <w:rsid w:val="00E60600"/>
    <w:rsid w:val="00E61E75"/>
    <w:rsid w:val="00E61F7E"/>
    <w:rsid w:val="00E63069"/>
    <w:rsid w:val="00E66C10"/>
    <w:rsid w:val="00E66F40"/>
    <w:rsid w:val="00E67059"/>
    <w:rsid w:val="00E70D60"/>
    <w:rsid w:val="00E72F0B"/>
    <w:rsid w:val="00E73804"/>
    <w:rsid w:val="00E73C0C"/>
    <w:rsid w:val="00E741C8"/>
    <w:rsid w:val="00E7435E"/>
    <w:rsid w:val="00E7513B"/>
    <w:rsid w:val="00E76FD2"/>
    <w:rsid w:val="00E77681"/>
    <w:rsid w:val="00E815CB"/>
    <w:rsid w:val="00E8172E"/>
    <w:rsid w:val="00E83388"/>
    <w:rsid w:val="00E8430A"/>
    <w:rsid w:val="00E84C60"/>
    <w:rsid w:val="00E86C0F"/>
    <w:rsid w:val="00E87BAE"/>
    <w:rsid w:val="00E90060"/>
    <w:rsid w:val="00E903E6"/>
    <w:rsid w:val="00E91613"/>
    <w:rsid w:val="00E955C9"/>
    <w:rsid w:val="00E9601F"/>
    <w:rsid w:val="00E973A5"/>
    <w:rsid w:val="00E97F17"/>
    <w:rsid w:val="00EA0973"/>
    <w:rsid w:val="00EA2CE9"/>
    <w:rsid w:val="00EA339D"/>
    <w:rsid w:val="00EA3941"/>
    <w:rsid w:val="00EA3C97"/>
    <w:rsid w:val="00EA4C22"/>
    <w:rsid w:val="00EA5D25"/>
    <w:rsid w:val="00EA60F0"/>
    <w:rsid w:val="00EA621B"/>
    <w:rsid w:val="00EB05D7"/>
    <w:rsid w:val="00EB0962"/>
    <w:rsid w:val="00EB19E3"/>
    <w:rsid w:val="00EB1F93"/>
    <w:rsid w:val="00EB5750"/>
    <w:rsid w:val="00EB6B54"/>
    <w:rsid w:val="00EB7E50"/>
    <w:rsid w:val="00EC176B"/>
    <w:rsid w:val="00EC6720"/>
    <w:rsid w:val="00EC6BF8"/>
    <w:rsid w:val="00EC6C44"/>
    <w:rsid w:val="00ED0E16"/>
    <w:rsid w:val="00ED28E7"/>
    <w:rsid w:val="00ED3CAB"/>
    <w:rsid w:val="00ED50F9"/>
    <w:rsid w:val="00ED7809"/>
    <w:rsid w:val="00ED79E2"/>
    <w:rsid w:val="00ED7A87"/>
    <w:rsid w:val="00EE043A"/>
    <w:rsid w:val="00EE1D31"/>
    <w:rsid w:val="00EE226B"/>
    <w:rsid w:val="00EE26D5"/>
    <w:rsid w:val="00EE3BAA"/>
    <w:rsid w:val="00EE41D1"/>
    <w:rsid w:val="00EE447B"/>
    <w:rsid w:val="00EE5F48"/>
    <w:rsid w:val="00EE6A62"/>
    <w:rsid w:val="00EF0D0F"/>
    <w:rsid w:val="00EF179D"/>
    <w:rsid w:val="00EF59ED"/>
    <w:rsid w:val="00EF59F9"/>
    <w:rsid w:val="00EF6D7C"/>
    <w:rsid w:val="00EF7B59"/>
    <w:rsid w:val="00F00DFA"/>
    <w:rsid w:val="00F01F27"/>
    <w:rsid w:val="00F054B4"/>
    <w:rsid w:val="00F05E85"/>
    <w:rsid w:val="00F0728F"/>
    <w:rsid w:val="00F1091C"/>
    <w:rsid w:val="00F1169B"/>
    <w:rsid w:val="00F130A8"/>
    <w:rsid w:val="00F14A9A"/>
    <w:rsid w:val="00F22272"/>
    <w:rsid w:val="00F2368F"/>
    <w:rsid w:val="00F240C0"/>
    <w:rsid w:val="00F25BC1"/>
    <w:rsid w:val="00F2666D"/>
    <w:rsid w:val="00F268B6"/>
    <w:rsid w:val="00F30670"/>
    <w:rsid w:val="00F32574"/>
    <w:rsid w:val="00F330A3"/>
    <w:rsid w:val="00F353A2"/>
    <w:rsid w:val="00F35ED5"/>
    <w:rsid w:val="00F40EE3"/>
    <w:rsid w:val="00F42F49"/>
    <w:rsid w:val="00F43BAA"/>
    <w:rsid w:val="00F4406C"/>
    <w:rsid w:val="00F4467C"/>
    <w:rsid w:val="00F45E05"/>
    <w:rsid w:val="00F46D04"/>
    <w:rsid w:val="00F46EDE"/>
    <w:rsid w:val="00F47750"/>
    <w:rsid w:val="00F5171A"/>
    <w:rsid w:val="00F530A3"/>
    <w:rsid w:val="00F539C8"/>
    <w:rsid w:val="00F5424B"/>
    <w:rsid w:val="00F54570"/>
    <w:rsid w:val="00F545D8"/>
    <w:rsid w:val="00F573E0"/>
    <w:rsid w:val="00F6268C"/>
    <w:rsid w:val="00F62BC5"/>
    <w:rsid w:val="00F634C0"/>
    <w:rsid w:val="00F648F5"/>
    <w:rsid w:val="00F6623E"/>
    <w:rsid w:val="00F67A16"/>
    <w:rsid w:val="00F67A7B"/>
    <w:rsid w:val="00F67E9F"/>
    <w:rsid w:val="00F73B98"/>
    <w:rsid w:val="00F766D9"/>
    <w:rsid w:val="00F813F2"/>
    <w:rsid w:val="00F8152E"/>
    <w:rsid w:val="00F81983"/>
    <w:rsid w:val="00F849E1"/>
    <w:rsid w:val="00F859EE"/>
    <w:rsid w:val="00F86291"/>
    <w:rsid w:val="00F87945"/>
    <w:rsid w:val="00F87B8F"/>
    <w:rsid w:val="00F87C6F"/>
    <w:rsid w:val="00F90377"/>
    <w:rsid w:val="00F9041B"/>
    <w:rsid w:val="00F908DB"/>
    <w:rsid w:val="00F90C65"/>
    <w:rsid w:val="00F91E87"/>
    <w:rsid w:val="00F921D9"/>
    <w:rsid w:val="00F95B99"/>
    <w:rsid w:val="00FA0794"/>
    <w:rsid w:val="00FA4444"/>
    <w:rsid w:val="00FA59A9"/>
    <w:rsid w:val="00FA5BF7"/>
    <w:rsid w:val="00FA6072"/>
    <w:rsid w:val="00FA65A2"/>
    <w:rsid w:val="00FA6B98"/>
    <w:rsid w:val="00FB097C"/>
    <w:rsid w:val="00FB4945"/>
    <w:rsid w:val="00FB5B04"/>
    <w:rsid w:val="00FB65B9"/>
    <w:rsid w:val="00FB7F22"/>
    <w:rsid w:val="00FC1761"/>
    <w:rsid w:val="00FC414B"/>
    <w:rsid w:val="00FC4409"/>
    <w:rsid w:val="00FC5670"/>
    <w:rsid w:val="00FC77C0"/>
    <w:rsid w:val="00FC7B8E"/>
    <w:rsid w:val="00FD1200"/>
    <w:rsid w:val="00FD5E2C"/>
    <w:rsid w:val="00FD6C57"/>
    <w:rsid w:val="00FD7242"/>
    <w:rsid w:val="00FE02C9"/>
    <w:rsid w:val="00FE270A"/>
    <w:rsid w:val="00FE324E"/>
    <w:rsid w:val="00FE6424"/>
    <w:rsid w:val="00FE6ADD"/>
    <w:rsid w:val="00FF1216"/>
    <w:rsid w:val="00FF3055"/>
    <w:rsid w:val="00FF3523"/>
    <w:rsid w:val="00FF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914B0"/>
  <w15:chartTrackingRefBased/>
  <w15:docId w15:val="{88C1AFF0-AC23-4BAA-BB7B-87A2DA27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A8"/>
    <w:pPr>
      <w:spacing w:after="0" w:line="240" w:lineRule="auto"/>
    </w:pPr>
    <w:rPr>
      <w:rFonts w:ascii="Calibri" w:eastAsia="Times New Roman" w:hAnsi="Calibri" w:cs="Times New Roman"/>
      <w:sz w:val="24"/>
      <w:szCs w:val="24"/>
    </w:rPr>
  </w:style>
  <w:style w:type="paragraph" w:styleId="Heading1">
    <w:name w:val="heading 1"/>
    <w:basedOn w:val="ListParagraph"/>
    <w:next w:val="Normal"/>
    <w:link w:val="Heading1Char"/>
    <w:uiPriority w:val="9"/>
    <w:qFormat/>
    <w:rsid w:val="00021C70"/>
    <w:pPr>
      <w:numPr>
        <w:numId w:val="1"/>
      </w:numPr>
      <w:outlineLvl w:val="0"/>
    </w:pPr>
    <w:rPr>
      <w:rFonts w:cs="Calibri"/>
      <w:b/>
      <w:bCs/>
      <w:u w:val="single"/>
    </w:rPr>
  </w:style>
  <w:style w:type="paragraph" w:styleId="Heading2">
    <w:name w:val="heading 2"/>
    <w:basedOn w:val="ListParagraph"/>
    <w:next w:val="Normal"/>
    <w:link w:val="Heading2Char"/>
    <w:uiPriority w:val="9"/>
    <w:unhideWhenUsed/>
    <w:qFormat/>
    <w:rsid w:val="002F441A"/>
    <w:pPr>
      <w:numPr>
        <w:ilvl w:val="1"/>
        <w:numId w:val="1"/>
      </w:numPr>
      <w:outlineLvl w:val="1"/>
    </w:pPr>
    <w:rPr>
      <w:rFonts w:cs="Calibri"/>
      <w:b/>
      <w:bCs/>
    </w:rPr>
  </w:style>
  <w:style w:type="paragraph" w:styleId="Heading3">
    <w:name w:val="heading 3"/>
    <w:basedOn w:val="ListParagraph"/>
    <w:next w:val="Normal"/>
    <w:link w:val="Heading3Char"/>
    <w:uiPriority w:val="9"/>
    <w:unhideWhenUsed/>
    <w:qFormat/>
    <w:rsid w:val="00436168"/>
    <w:pPr>
      <w:numPr>
        <w:ilvl w:val="3"/>
        <w:numId w:val="1"/>
      </w:numPr>
      <w:outlineLvl w:val="2"/>
    </w:pPr>
    <w:rPr>
      <w:rFonts w:cs="Calibri"/>
      <w:b/>
      <w:bCs/>
    </w:rPr>
  </w:style>
  <w:style w:type="paragraph" w:styleId="Heading4">
    <w:name w:val="heading 4"/>
    <w:basedOn w:val="Heading3"/>
    <w:next w:val="Normal"/>
    <w:link w:val="Heading4Char"/>
    <w:uiPriority w:val="9"/>
    <w:unhideWhenUsed/>
    <w:qFormat/>
    <w:rsid w:val="004C433C"/>
    <w:pPr>
      <w:outlineLvl w:val="3"/>
    </w:pPr>
  </w:style>
  <w:style w:type="paragraph" w:styleId="Heading5">
    <w:name w:val="heading 5"/>
    <w:basedOn w:val="Heading2"/>
    <w:next w:val="Normal"/>
    <w:link w:val="Heading5Char"/>
    <w:uiPriority w:val="9"/>
    <w:unhideWhenUsed/>
    <w:qFormat/>
    <w:rsid w:val="004C433C"/>
    <w:pPr>
      <w:numPr>
        <w:ilvl w:val="2"/>
        <w:numId w:val="30"/>
      </w:numPr>
      <w:tabs>
        <w:tab w:val="left" w:pos="1980"/>
      </w:tabs>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04"/>
    <w:pPr>
      <w:ind w:left="720"/>
      <w:contextualSpacing/>
    </w:pPr>
  </w:style>
  <w:style w:type="character" w:styleId="CommentReference">
    <w:name w:val="annotation reference"/>
    <w:basedOn w:val="DefaultParagraphFont"/>
    <w:uiPriority w:val="99"/>
    <w:semiHidden/>
    <w:unhideWhenUsed/>
    <w:rsid w:val="00DE7B4D"/>
    <w:rPr>
      <w:sz w:val="16"/>
      <w:szCs w:val="16"/>
    </w:rPr>
  </w:style>
  <w:style w:type="paragraph" w:styleId="CommentText">
    <w:name w:val="annotation text"/>
    <w:basedOn w:val="Normal"/>
    <w:link w:val="CommentTextChar"/>
    <w:uiPriority w:val="99"/>
    <w:unhideWhenUsed/>
    <w:rsid w:val="00DE7B4D"/>
    <w:rPr>
      <w:sz w:val="20"/>
      <w:szCs w:val="20"/>
    </w:rPr>
  </w:style>
  <w:style w:type="character" w:customStyle="1" w:styleId="CommentTextChar">
    <w:name w:val="Comment Text Char"/>
    <w:basedOn w:val="DefaultParagraphFont"/>
    <w:link w:val="CommentText"/>
    <w:uiPriority w:val="99"/>
    <w:rsid w:val="00DE7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B4D"/>
    <w:rPr>
      <w:b/>
      <w:bCs/>
    </w:rPr>
  </w:style>
  <w:style w:type="character" w:customStyle="1" w:styleId="CommentSubjectChar">
    <w:name w:val="Comment Subject Char"/>
    <w:basedOn w:val="CommentTextChar"/>
    <w:link w:val="CommentSubject"/>
    <w:uiPriority w:val="99"/>
    <w:semiHidden/>
    <w:rsid w:val="00DE7B4D"/>
    <w:rPr>
      <w:rFonts w:ascii="Times New Roman" w:eastAsia="Times New Roman" w:hAnsi="Times New Roman" w:cs="Times New Roman"/>
      <w:b/>
      <w:bCs/>
      <w:sz w:val="20"/>
      <w:szCs w:val="20"/>
    </w:rPr>
  </w:style>
  <w:style w:type="paragraph" w:styleId="NoSpacing">
    <w:name w:val="No Spacing"/>
    <w:link w:val="NoSpacingChar"/>
    <w:uiPriority w:val="1"/>
    <w:qFormat/>
    <w:rsid w:val="000F4867"/>
    <w:pPr>
      <w:spacing w:after="0" w:line="240" w:lineRule="auto"/>
    </w:pPr>
    <w:rPr>
      <w:rFonts w:ascii="Times New Roman" w:eastAsia="Times New Roman" w:hAnsi="Times New Roman" w:cs="Times New Roman"/>
      <w:sz w:val="24"/>
      <w:szCs w:val="24"/>
    </w:rPr>
  </w:style>
  <w:style w:type="paragraph" w:styleId="TOC4">
    <w:name w:val="toc 4"/>
    <w:basedOn w:val="Normal"/>
    <w:next w:val="Heading4"/>
    <w:autoRedefine/>
    <w:uiPriority w:val="39"/>
    <w:unhideWhenUsed/>
    <w:qFormat/>
    <w:rsid w:val="00EA60F0"/>
    <w:pPr>
      <w:spacing w:after="100"/>
      <w:ind w:left="1440"/>
    </w:pPr>
  </w:style>
  <w:style w:type="character" w:customStyle="1" w:styleId="Heading1Char">
    <w:name w:val="Heading 1 Char"/>
    <w:basedOn w:val="DefaultParagraphFont"/>
    <w:link w:val="Heading1"/>
    <w:uiPriority w:val="9"/>
    <w:rsid w:val="00021C70"/>
    <w:rPr>
      <w:rFonts w:ascii="Calibri" w:eastAsia="Times New Roman" w:hAnsi="Calibri" w:cs="Calibri"/>
      <w:b/>
      <w:bCs/>
      <w:sz w:val="24"/>
      <w:szCs w:val="24"/>
      <w:u w:val="single"/>
    </w:rPr>
  </w:style>
  <w:style w:type="paragraph" w:styleId="TOCHeading">
    <w:name w:val="TOC Heading"/>
    <w:basedOn w:val="Heading1"/>
    <w:next w:val="Normal"/>
    <w:uiPriority w:val="39"/>
    <w:unhideWhenUsed/>
    <w:qFormat/>
    <w:rsid w:val="000F4867"/>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EA60F0"/>
    <w:pPr>
      <w:tabs>
        <w:tab w:val="left" w:pos="450"/>
        <w:tab w:val="right" w:leader="dot" w:pos="9350"/>
      </w:tabs>
      <w:spacing w:after="100"/>
      <w:jc w:val="center"/>
    </w:pPr>
  </w:style>
  <w:style w:type="character" w:styleId="Hyperlink">
    <w:name w:val="Hyperlink"/>
    <w:basedOn w:val="DefaultParagraphFont"/>
    <w:uiPriority w:val="99"/>
    <w:unhideWhenUsed/>
    <w:rsid w:val="000F4867"/>
    <w:rPr>
      <w:color w:val="0563C1" w:themeColor="hyperlink"/>
      <w:u w:val="single"/>
    </w:rPr>
  </w:style>
  <w:style w:type="character" w:customStyle="1" w:styleId="Heading2Char">
    <w:name w:val="Heading 2 Char"/>
    <w:basedOn w:val="DefaultParagraphFont"/>
    <w:link w:val="Heading2"/>
    <w:uiPriority w:val="9"/>
    <w:rsid w:val="002F441A"/>
    <w:rPr>
      <w:rFonts w:ascii="Calibri" w:eastAsia="Times New Roman" w:hAnsi="Calibri" w:cs="Calibri"/>
      <w:b/>
      <w:bCs/>
      <w:sz w:val="24"/>
      <w:szCs w:val="24"/>
    </w:rPr>
  </w:style>
  <w:style w:type="character" w:customStyle="1" w:styleId="Heading3Char">
    <w:name w:val="Heading 3 Char"/>
    <w:basedOn w:val="DefaultParagraphFont"/>
    <w:link w:val="Heading3"/>
    <w:uiPriority w:val="9"/>
    <w:rsid w:val="00436168"/>
    <w:rPr>
      <w:rFonts w:ascii="Calibri" w:eastAsia="Times New Roman" w:hAnsi="Calibri" w:cs="Calibri"/>
      <w:b/>
      <w:bCs/>
      <w:sz w:val="24"/>
      <w:szCs w:val="24"/>
    </w:rPr>
  </w:style>
  <w:style w:type="paragraph" w:styleId="TOC2">
    <w:name w:val="toc 2"/>
    <w:basedOn w:val="Normal"/>
    <w:next w:val="Normal"/>
    <w:autoRedefine/>
    <w:uiPriority w:val="39"/>
    <w:unhideWhenUsed/>
    <w:rsid w:val="00EA60F0"/>
    <w:pPr>
      <w:tabs>
        <w:tab w:val="left" w:pos="1170"/>
        <w:tab w:val="right" w:leader="dot" w:pos="9350"/>
      </w:tabs>
      <w:spacing w:after="100"/>
      <w:ind w:left="900" w:hanging="540"/>
    </w:pPr>
  </w:style>
  <w:style w:type="character" w:styleId="UnresolvedMention">
    <w:name w:val="Unresolved Mention"/>
    <w:basedOn w:val="DefaultParagraphFont"/>
    <w:uiPriority w:val="99"/>
    <w:semiHidden/>
    <w:unhideWhenUsed/>
    <w:rsid w:val="0084445F"/>
    <w:rPr>
      <w:color w:val="605E5C"/>
      <w:shd w:val="clear" w:color="auto" w:fill="E1DFDD"/>
    </w:rPr>
  </w:style>
  <w:style w:type="character" w:styleId="FollowedHyperlink">
    <w:name w:val="FollowedHyperlink"/>
    <w:basedOn w:val="DefaultParagraphFont"/>
    <w:uiPriority w:val="99"/>
    <w:semiHidden/>
    <w:unhideWhenUsed/>
    <w:rsid w:val="00AB3FDD"/>
    <w:rPr>
      <w:color w:val="954F72" w:themeColor="followedHyperlink"/>
      <w:u w:val="single"/>
    </w:rPr>
  </w:style>
  <w:style w:type="paragraph" w:styleId="TOC3">
    <w:name w:val="toc 3"/>
    <w:basedOn w:val="Normal"/>
    <w:next w:val="Heading3"/>
    <w:autoRedefine/>
    <w:uiPriority w:val="39"/>
    <w:unhideWhenUsed/>
    <w:qFormat/>
    <w:rsid w:val="00EA60F0"/>
    <w:pPr>
      <w:spacing w:after="100" w:line="259" w:lineRule="auto"/>
      <w:ind w:left="72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CA2C4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A2C4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A2C4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A2C4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A2C40"/>
    <w:pPr>
      <w:spacing w:after="100" w:line="259" w:lineRule="auto"/>
      <w:ind w:left="176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7460E"/>
    <w:pPr>
      <w:tabs>
        <w:tab w:val="center" w:pos="4680"/>
        <w:tab w:val="right" w:pos="9360"/>
      </w:tabs>
    </w:pPr>
  </w:style>
  <w:style w:type="character" w:customStyle="1" w:styleId="HeaderChar">
    <w:name w:val="Header Char"/>
    <w:basedOn w:val="DefaultParagraphFont"/>
    <w:link w:val="Header"/>
    <w:uiPriority w:val="99"/>
    <w:rsid w:val="0027460E"/>
    <w:rPr>
      <w:rFonts w:ascii="Calibri" w:eastAsia="Times New Roman" w:hAnsi="Calibri" w:cs="Times New Roman"/>
      <w:sz w:val="24"/>
      <w:szCs w:val="24"/>
    </w:rPr>
  </w:style>
  <w:style w:type="paragraph" w:styleId="Footer">
    <w:name w:val="footer"/>
    <w:basedOn w:val="Normal"/>
    <w:link w:val="FooterChar"/>
    <w:uiPriority w:val="99"/>
    <w:unhideWhenUsed/>
    <w:rsid w:val="0027460E"/>
    <w:pPr>
      <w:tabs>
        <w:tab w:val="center" w:pos="4680"/>
        <w:tab w:val="right" w:pos="9360"/>
      </w:tabs>
    </w:pPr>
  </w:style>
  <w:style w:type="character" w:customStyle="1" w:styleId="FooterChar">
    <w:name w:val="Footer Char"/>
    <w:basedOn w:val="DefaultParagraphFont"/>
    <w:link w:val="Footer"/>
    <w:uiPriority w:val="99"/>
    <w:rsid w:val="0027460E"/>
    <w:rPr>
      <w:rFonts w:ascii="Calibri" w:eastAsia="Times New Roman" w:hAnsi="Calibri" w:cs="Times New Roman"/>
      <w:sz w:val="24"/>
      <w:szCs w:val="24"/>
    </w:rPr>
  </w:style>
  <w:style w:type="paragraph" w:styleId="Revision">
    <w:name w:val="Revision"/>
    <w:hidden/>
    <w:uiPriority w:val="99"/>
    <w:semiHidden/>
    <w:rsid w:val="00054FF6"/>
    <w:pPr>
      <w:spacing w:after="0" w:line="240" w:lineRule="auto"/>
    </w:pPr>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A064EB"/>
    <w:rPr>
      <w:sz w:val="20"/>
      <w:szCs w:val="20"/>
    </w:rPr>
  </w:style>
  <w:style w:type="character" w:customStyle="1" w:styleId="FootnoteTextChar">
    <w:name w:val="Footnote Text Char"/>
    <w:basedOn w:val="DefaultParagraphFont"/>
    <w:link w:val="FootnoteText"/>
    <w:uiPriority w:val="99"/>
    <w:semiHidden/>
    <w:rsid w:val="00A064E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064EB"/>
    <w:rPr>
      <w:vertAlign w:val="superscript"/>
    </w:rPr>
  </w:style>
  <w:style w:type="character" w:customStyle="1" w:styleId="Heading4Char">
    <w:name w:val="Heading 4 Char"/>
    <w:basedOn w:val="DefaultParagraphFont"/>
    <w:link w:val="Heading4"/>
    <w:uiPriority w:val="9"/>
    <w:rsid w:val="004C433C"/>
    <w:rPr>
      <w:rFonts w:ascii="Calibri" w:eastAsia="Times New Roman" w:hAnsi="Calibri" w:cs="Calibri"/>
      <w:b/>
      <w:bCs/>
      <w:sz w:val="24"/>
      <w:szCs w:val="24"/>
    </w:rPr>
  </w:style>
  <w:style w:type="character" w:customStyle="1" w:styleId="Heading5Char">
    <w:name w:val="Heading 5 Char"/>
    <w:basedOn w:val="DefaultParagraphFont"/>
    <w:link w:val="Heading5"/>
    <w:uiPriority w:val="9"/>
    <w:rsid w:val="004C433C"/>
    <w:rPr>
      <w:rFonts w:ascii="Calibri" w:eastAsia="Times New Roman" w:hAnsi="Calibri" w:cs="Calibri"/>
      <w:b/>
      <w:bCs/>
      <w:sz w:val="24"/>
      <w:szCs w:val="24"/>
    </w:rPr>
  </w:style>
  <w:style w:type="table" w:styleId="TableGrid">
    <w:name w:val="Table Grid"/>
    <w:basedOn w:val="TableNormal"/>
    <w:uiPriority w:val="39"/>
    <w:rsid w:val="00B51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1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1B57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0215">
      <w:bodyDiv w:val="1"/>
      <w:marLeft w:val="0"/>
      <w:marRight w:val="0"/>
      <w:marTop w:val="0"/>
      <w:marBottom w:val="0"/>
      <w:divBdr>
        <w:top w:val="none" w:sz="0" w:space="0" w:color="auto"/>
        <w:left w:val="none" w:sz="0" w:space="0" w:color="auto"/>
        <w:bottom w:val="none" w:sz="0" w:space="0" w:color="auto"/>
        <w:right w:val="none" w:sz="0" w:space="0" w:color="auto"/>
      </w:divBdr>
    </w:div>
    <w:div w:id="765883991">
      <w:bodyDiv w:val="1"/>
      <w:marLeft w:val="0"/>
      <w:marRight w:val="0"/>
      <w:marTop w:val="0"/>
      <w:marBottom w:val="0"/>
      <w:divBdr>
        <w:top w:val="none" w:sz="0" w:space="0" w:color="auto"/>
        <w:left w:val="none" w:sz="0" w:space="0" w:color="auto"/>
        <w:bottom w:val="none" w:sz="0" w:space="0" w:color="auto"/>
        <w:right w:val="none" w:sz="0" w:space="0" w:color="auto"/>
      </w:divBdr>
    </w:div>
    <w:div w:id="1166625585">
      <w:bodyDiv w:val="1"/>
      <w:marLeft w:val="0"/>
      <w:marRight w:val="0"/>
      <w:marTop w:val="0"/>
      <w:marBottom w:val="0"/>
      <w:divBdr>
        <w:top w:val="none" w:sz="0" w:space="0" w:color="auto"/>
        <w:left w:val="none" w:sz="0" w:space="0" w:color="auto"/>
        <w:bottom w:val="none" w:sz="0" w:space="0" w:color="auto"/>
        <w:right w:val="none" w:sz="0" w:space="0" w:color="auto"/>
      </w:divBdr>
    </w:div>
    <w:div w:id="1486118993">
      <w:bodyDiv w:val="1"/>
      <w:marLeft w:val="0"/>
      <w:marRight w:val="0"/>
      <w:marTop w:val="0"/>
      <w:marBottom w:val="0"/>
      <w:divBdr>
        <w:top w:val="none" w:sz="0" w:space="0" w:color="auto"/>
        <w:left w:val="none" w:sz="0" w:space="0" w:color="auto"/>
        <w:bottom w:val="none" w:sz="0" w:space="0" w:color="auto"/>
        <w:right w:val="none" w:sz="0" w:space="0" w:color="auto"/>
      </w:divBdr>
    </w:div>
    <w:div w:id="15705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cr/address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gov/o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R@ed.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oc.gov/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abita.org/training/sivra-35/" TargetMode="External"/><Relationship Id="rId7" Type="http://schemas.openxmlformats.org/officeDocument/2006/relationships/hyperlink" Target="http://www.mosaicmethod.com" TargetMode="External"/><Relationship Id="rId2" Type="http://schemas.openxmlformats.org/officeDocument/2006/relationships/hyperlink" Target="https://www.nabita.org/training/nabita-risk-rubric/" TargetMode="External"/><Relationship Id="rId1" Type="http://schemas.openxmlformats.org/officeDocument/2006/relationships/hyperlink" Target="http://www.eeoc.gov/field/index.cfm" TargetMode="External"/><Relationship Id="rId6" Type="http://schemas.openxmlformats.org/officeDocument/2006/relationships/hyperlink" Target="http://hcr-20.com" TargetMode="External"/><Relationship Id="rId5" Type="http://schemas.openxmlformats.org/officeDocument/2006/relationships/hyperlink" Target="http://www.wavr21.com" TargetMode="External"/><Relationship Id="rId4" Type="http://schemas.openxmlformats.org/officeDocument/2006/relationships/hyperlink" Target="https://www.nabita.org/training/vra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b7cfee-9fb4-4f04-9a4d-3667238fe510">
      <UserInfo>
        <DisplayName>Dan Fotoples</DisplayName>
        <AccountId>47</AccountId>
        <AccountType/>
      </UserInfo>
      <UserInfo>
        <DisplayName>Kim Pacelli</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52A2AB09B3748A7BAB745804E1DD8" ma:contentTypeVersion="6" ma:contentTypeDescription="Create a new document." ma:contentTypeScope="" ma:versionID="425cf408dd7f88883cca168e635fde01">
  <xsd:schema xmlns:xsd="http://www.w3.org/2001/XMLSchema" xmlns:xs="http://www.w3.org/2001/XMLSchema" xmlns:p="http://schemas.microsoft.com/office/2006/metadata/properties" xmlns:ns2="18b7cfee-9fb4-4f04-9a4d-3667238fe510" xmlns:ns3="5089d256-6f35-4fcc-8117-dd244556d585" targetNamespace="http://schemas.microsoft.com/office/2006/metadata/properties" ma:root="true" ma:fieldsID="9d0212b2c72baf20abcaee3860dd0b2d" ns2:_="" ns3:_="">
    <xsd:import namespace="18b7cfee-9fb4-4f04-9a4d-3667238fe510"/>
    <xsd:import namespace="5089d256-6f35-4fcc-8117-dd244556d5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cfee-9fb4-4f04-9a4d-3667238fe5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9d256-6f35-4fcc-8117-dd244556d5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F5C94-2382-446C-95F0-88B078CCED4E}">
  <ds:schemaRefs>
    <ds:schemaRef ds:uri="http://schemas.microsoft.com/office/2006/metadata/properties"/>
    <ds:schemaRef ds:uri="http://schemas.microsoft.com/office/infopath/2007/PartnerControls"/>
    <ds:schemaRef ds:uri="18b7cfee-9fb4-4f04-9a4d-3667238fe510"/>
  </ds:schemaRefs>
</ds:datastoreItem>
</file>

<file path=customXml/itemProps2.xml><?xml version="1.0" encoding="utf-8"?>
<ds:datastoreItem xmlns:ds="http://schemas.openxmlformats.org/officeDocument/2006/customXml" ds:itemID="{7CD22E1D-01A9-4374-B108-70C78F9316FA}">
  <ds:schemaRefs>
    <ds:schemaRef ds:uri="http://schemas.openxmlformats.org/officeDocument/2006/bibliography"/>
  </ds:schemaRefs>
</ds:datastoreItem>
</file>

<file path=customXml/itemProps3.xml><?xml version="1.0" encoding="utf-8"?>
<ds:datastoreItem xmlns:ds="http://schemas.openxmlformats.org/officeDocument/2006/customXml" ds:itemID="{D2BB6978-39DE-4FD8-B1DA-519906E2DB25}">
  <ds:schemaRefs>
    <ds:schemaRef ds:uri="http://schemas.microsoft.com/sharepoint/v3/contenttype/forms"/>
  </ds:schemaRefs>
</ds:datastoreItem>
</file>

<file path=customXml/itemProps4.xml><?xml version="1.0" encoding="utf-8"?>
<ds:datastoreItem xmlns:ds="http://schemas.openxmlformats.org/officeDocument/2006/customXml" ds:itemID="{F3FB37A8-F6B1-44B9-9658-FE4742A8D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cfee-9fb4-4f04-9a4d-3667238fe510"/>
    <ds:schemaRef ds:uri="5089d256-6f35-4fcc-8117-dd244556d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33612</Words>
  <Characters>191594</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224757</CharactersWithSpaces>
  <SharedDoc>false</SharedDoc>
  <HLinks>
    <vt:vector size="798" baseType="variant">
      <vt:variant>
        <vt:i4>2556025</vt:i4>
      </vt:variant>
      <vt:variant>
        <vt:i4>705</vt:i4>
      </vt:variant>
      <vt:variant>
        <vt:i4>0</vt:i4>
      </vt:variant>
      <vt:variant>
        <vt:i4>5</vt:i4>
      </vt:variant>
      <vt:variant>
        <vt:lpwstr/>
      </vt:variant>
      <vt:variant>
        <vt:lpwstr>ProceduralSection22</vt:lpwstr>
      </vt:variant>
      <vt:variant>
        <vt:i4>7733343</vt:i4>
      </vt:variant>
      <vt:variant>
        <vt:i4>702</vt:i4>
      </vt:variant>
      <vt:variant>
        <vt:i4>0</vt:i4>
      </vt:variant>
      <vt:variant>
        <vt:i4>5</vt:i4>
      </vt:variant>
      <vt:variant>
        <vt:lpwstr/>
      </vt:variant>
      <vt:variant>
        <vt:lpwstr>Grievance_Process_Pool_Def</vt:lpwstr>
      </vt:variant>
      <vt:variant>
        <vt:i4>6684689</vt:i4>
      </vt:variant>
      <vt:variant>
        <vt:i4>699</vt:i4>
      </vt:variant>
      <vt:variant>
        <vt:i4>0</vt:i4>
      </vt:variant>
      <vt:variant>
        <vt:i4>5</vt:i4>
      </vt:variant>
      <vt:variant>
        <vt:lpwstr/>
      </vt:variant>
      <vt:variant>
        <vt:lpwstr>_APPENDIX_J:_TRAINING</vt:lpwstr>
      </vt:variant>
      <vt:variant>
        <vt:i4>5177449</vt:i4>
      </vt:variant>
      <vt:variant>
        <vt:i4>696</vt:i4>
      </vt:variant>
      <vt:variant>
        <vt:i4>0</vt:i4>
      </vt:variant>
      <vt:variant>
        <vt:i4>5</vt:i4>
      </vt:variant>
      <vt:variant>
        <vt:lpwstr/>
      </vt:variant>
      <vt:variant>
        <vt:lpwstr>_Administrative_Resolution_Process</vt:lpwstr>
      </vt:variant>
      <vt:variant>
        <vt:i4>2228271</vt:i4>
      </vt:variant>
      <vt:variant>
        <vt:i4>693</vt:i4>
      </vt:variant>
      <vt:variant>
        <vt:i4>0</vt:i4>
      </vt:variant>
      <vt:variant>
        <vt:i4>5</vt:i4>
      </vt:variant>
      <vt:variant>
        <vt:lpwstr/>
      </vt:variant>
      <vt:variant>
        <vt:lpwstr>ReportsComplaintsSection14</vt:lpwstr>
      </vt:variant>
      <vt:variant>
        <vt:i4>7471115</vt:i4>
      </vt:variant>
      <vt:variant>
        <vt:i4>690</vt:i4>
      </vt:variant>
      <vt:variant>
        <vt:i4>0</vt:i4>
      </vt:variant>
      <vt:variant>
        <vt:i4>5</vt:i4>
      </vt:variant>
      <vt:variant>
        <vt:lpwstr/>
      </vt:variant>
      <vt:variant>
        <vt:lpwstr>_APPENDIX_E:_PRIVACY,</vt:lpwstr>
      </vt:variant>
      <vt:variant>
        <vt:i4>262269</vt:i4>
      </vt:variant>
      <vt:variant>
        <vt:i4>687</vt:i4>
      </vt:variant>
      <vt:variant>
        <vt:i4>0</vt:i4>
      </vt:variant>
      <vt:variant>
        <vt:i4>5</vt:i4>
      </vt:variant>
      <vt:variant>
        <vt:lpwstr/>
      </vt:variant>
      <vt:variant>
        <vt:lpwstr>_APPENDIX_F:_UNETHICAL</vt:lpwstr>
      </vt:variant>
      <vt:variant>
        <vt:i4>3604523</vt:i4>
      </vt:variant>
      <vt:variant>
        <vt:i4>684</vt:i4>
      </vt:variant>
      <vt:variant>
        <vt:i4>0</vt:i4>
      </vt:variant>
      <vt:variant>
        <vt:i4>5</vt:i4>
      </vt:variant>
      <vt:variant>
        <vt:lpwstr>http://www.eeoc.gov/contact</vt:lpwstr>
      </vt:variant>
      <vt:variant>
        <vt:lpwstr/>
      </vt:variant>
      <vt:variant>
        <vt:i4>4653150</vt:i4>
      </vt:variant>
      <vt:variant>
        <vt:i4>681</vt:i4>
      </vt:variant>
      <vt:variant>
        <vt:i4>0</vt:i4>
      </vt:variant>
      <vt:variant>
        <vt:i4>5</vt:i4>
      </vt:variant>
      <vt:variant>
        <vt:lpwstr>https://www2.ed.gov/about/offices/list/ocr/addresses.html</vt:lpwstr>
      </vt:variant>
      <vt:variant>
        <vt:lpwstr/>
      </vt:variant>
      <vt:variant>
        <vt:i4>4390986</vt:i4>
      </vt:variant>
      <vt:variant>
        <vt:i4>678</vt:i4>
      </vt:variant>
      <vt:variant>
        <vt:i4>0</vt:i4>
      </vt:variant>
      <vt:variant>
        <vt:i4>5</vt:i4>
      </vt:variant>
      <vt:variant>
        <vt:lpwstr>http://www.ed.gov/ocr</vt:lpwstr>
      </vt:variant>
      <vt:variant>
        <vt:lpwstr/>
      </vt:variant>
      <vt:variant>
        <vt:i4>5963882</vt:i4>
      </vt:variant>
      <vt:variant>
        <vt:i4>675</vt:i4>
      </vt:variant>
      <vt:variant>
        <vt:i4>0</vt:i4>
      </vt:variant>
      <vt:variant>
        <vt:i4>5</vt:i4>
      </vt:variant>
      <vt:variant>
        <vt:lpwstr>mailto:OCR@ed.gov</vt:lpwstr>
      </vt:variant>
      <vt:variant>
        <vt:lpwstr/>
      </vt:variant>
      <vt:variant>
        <vt:i4>1507386</vt:i4>
      </vt:variant>
      <vt:variant>
        <vt:i4>668</vt:i4>
      </vt:variant>
      <vt:variant>
        <vt:i4>0</vt:i4>
      </vt:variant>
      <vt:variant>
        <vt:i4>5</vt:i4>
      </vt:variant>
      <vt:variant>
        <vt:lpwstr/>
      </vt:variant>
      <vt:variant>
        <vt:lpwstr>_Toc168474466</vt:lpwstr>
      </vt:variant>
      <vt:variant>
        <vt:i4>1507386</vt:i4>
      </vt:variant>
      <vt:variant>
        <vt:i4>662</vt:i4>
      </vt:variant>
      <vt:variant>
        <vt:i4>0</vt:i4>
      </vt:variant>
      <vt:variant>
        <vt:i4>5</vt:i4>
      </vt:variant>
      <vt:variant>
        <vt:lpwstr/>
      </vt:variant>
      <vt:variant>
        <vt:lpwstr>_Toc168474465</vt:lpwstr>
      </vt:variant>
      <vt:variant>
        <vt:i4>1507386</vt:i4>
      </vt:variant>
      <vt:variant>
        <vt:i4>656</vt:i4>
      </vt:variant>
      <vt:variant>
        <vt:i4>0</vt:i4>
      </vt:variant>
      <vt:variant>
        <vt:i4>5</vt:i4>
      </vt:variant>
      <vt:variant>
        <vt:lpwstr/>
      </vt:variant>
      <vt:variant>
        <vt:lpwstr>_Toc168474464</vt:lpwstr>
      </vt:variant>
      <vt:variant>
        <vt:i4>1507386</vt:i4>
      </vt:variant>
      <vt:variant>
        <vt:i4>650</vt:i4>
      </vt:variant>
      <vt:variant>
        <vt:i4>0</vt:i4>
      </vt:variant>
      <vt:variant>
        <vt:i4>5</vt:i4>
      </vt:variant>
      <vt:variant>
        <vt:lpwstr/>
      </vt:variant>
      <vt:variant>
        <vt:lpwstr>_Toc168474463</vt:lpwstr>
      </vt:variant>
      <vt:variant>
        <vt:i4>1507386</vt:i4>
      </vt:variant>
      <vt:variant>
        <vt:i4>644</vt:i4>
      </vt:variant>
      <vt:variant>
        <vt:i4>0</vt:i4>
      </vt:variant>
      <vt:variant>
        <vt:i4>5</vt:i4>
      </vt:variant>
      <vt:variant>
        <vt:lpwstr/>
      </vt:variant>
      <vt:variant>
        <vt:lpwstr>_Toc168474462</vt:lpwstr>
      </vt:variant>
      <vt:variant>
        <vt:i4>1507386</vt:i4>
      </vt:variant>
      <vt:variant>
        <vt:i4>638</vt:i4>
      </vt:variant>
      <vt:variant>
        <vt:i4>0</vt:i4>
      </vt:variant>
      <vt:variant>
        <vt:i4>5</vt:i4>
      </vt:variant>
      <vt:variant>
        <vt:lpwstr/>
      </vt:variant>
      <vt:variant>
        <vt:lpwstr>_Toc168474461</vt:lpwstr>
      </vt:variant>
      <vt:variant>
        <vt:i4>1507386</vt:i4>
      </vt:variant>
      <vt:variant>
        <vt:i4>632</vt:i4>
      </vt:variant>
      <vt:variant>
        <vt:i4>0</vt:i4>
      </vt:variant>
      <vt:variant>
        <vt:i4>5</vt:i4>
      </vt:variant>
      <vt:variant>
        <vt:lpwstr/>
      </vt:variant>
      <vt:variant>
        <vt:lpwstr>_Toc168474460</vt:lpwstr>
      </vt:variant>
      <vt:variant>
        <vt:i4>1310778</vt:i4>
      </vt:variant>
      <vt:variant>
        <vt:i4>626</vt:i4>
      </vt:variant>
      <vt:variant>
        <vt:i4>0</vt:i4>
      </vt:variant>
      <vt:variant>
        <vt:i4>5</vt:i4>
      </vt:variant>
      <vt:variant>
        <vt:lpwstr/>
      </vt:variant>
      <vt:variant>
        <vt:lpwstr>_Toc168474459</vt:lpwstr>
      </vt:variant>
      <vt:variant>
        <vt:i4>1310778</vt:i4>
      </vt:variant>
      <vt:variant>
        <vt:i4>620</vt:i4>
      </vt:variant>
      <vt:variant>
        <vt:i4>0</vt:i4>
      </vt:variant>
      <vt:variant>
        <vt:i4>5</vt:i4>
      </vt:variant>
      <vt:variant>
        <vt:lpwstr/>
      </vt:variant>
      <vt:variant>
        <vt:lpwstr>_Toc168474458</vt:lpwstr>
      </vt:variant>
      <vt:variant>
        <vt:i4>1310778</vt:i4>
      </vt:variant>
      <vt:variant>
        <vt:i4>614</vt:i4>
      </vt:variant>
      <vt:variant>
        <vt:i4>0</vt:i4>
      </vt:variant>
      <vt:variant>
        <vt:i4>5</vt:i4>
      </vt:variant>
      <vt:variant>
        <vt:lpwstr/>
      </vt:variant>
      <vt:variant>
        <vt:lpwstr>_Toc168474457</vt:lpwstr>
      </vt:variant>
      <vt:variant>
        <vt:i4>1310778</vt:i4>
      </vt:variant>
      <vt:variant>
        <vt:i4>608</vt:i4>
      </vt:variant>
      <vt:variant>
        <vt:i4>0</vt:i4>
      </vt:variant>
      <vt:variant>
        <vt:i4>5</vt:i4>
      </vt:variant>
      <vt:variant>
        <vt:lpwstr/>
      </vt:variant>
      <vt:variant>
        <vt:lpwstr>_Toc168474456</vt:lpwstr>
      </vt:variant>
      <vt:variant>
        <vt:i4>1310778</vt:i4>
      </vt:variant>
      <vt:variant>
        <vt:i4>602</vt:i4>
      </vt:variant>
      <vt:variant>
        <vt:i4>0</vt:i4>
      </vt:variant>
      <vt:variant>
        <vt:i4>5</vt:i4>
      </vt:variant>
      <vt:variant>
        <vt:lpwstr/>
      </vt:variant>
      <vt:variant>
        <vt:lpwstr>_Toc168474455</vt:lpwstr>
      </vt:variant>
      <vt:variant>
        <vt:i4>1310778</vt:i4>
      </vt:variant>
      <vt:variant>
        <vt:i4>596</vt:i4>
      </vt:variant>
      <vt:variant>
        <vt:i4>0</vt:i4>
      </vt:variant>
      <vt:variant>
        <vt:i4>5</vt:i4>
      </vt:variant>
      <vt:variant>
        <vt:lpwstr/>
      </vt:variant>
      <vt:variant>
        <vt:lpwstr>_Toc168474454</vt:lpwstr>
      </vt:variant>
      <vt:variant>
        <vt:i4>1310778</vt:i4>
      </vt:variant>
      <vt:variant>
        <vt:i4>590</vt:i4>
      </vt:variant>
      <vt:variant>
        <vt:i4>0</vt:i4>
      </vt:variant>
      <vt:variant>
        <vt:i4>5</vt:i4>
      </vt:variant>
      <vt:variant>
        <vt:lpwstr/>
      </vt:variant>
      <vt:variant>
        <vt:lpwstr>_Toc168474453</vt:lpwstr>
      </vt:variant>
      <vt:variant>
        <vt:i4>1310778</vt:i4>
      </vt:variant>
      <vt:variant>
        <vt:i4>584</vt:i4>
      </vt:variant>
      <vt:variant>
        <vt:i4>0</vt:i4>
      </vt:variant>
      <vt:variant>
        <vt:i4>5</vt:i4>
      </vt:variant>
      <vt:variant>
        <vt:lpwstr/>
      </vt:variant>
      <vt:variant>
        <vt:lpwstr>_Toc168474452</vt:lpwstr>
      </vt:variant>
      <vt:variant>
        <vt:i4>1310778</vt:i4>
      </vt:variant>
      <vt:variant>
        <vt:i4>578</vt:i4>
      </vt:variant>
      <vt:variant>
        <vt:i4>0</vt:i4>
      </vt:variant>
      <vt:variant>
        <vt:i4>5</vt:i4>
      </vt:variant>
      <vt:variant>
        <vt:lpwstr/>
      </vt:variant>
      <vt:variant>
        <vt:lpwstr>_Toc168474451</vt:lpwstr>
      </vt:variant>
      <vt:variant>
        <vt:i4>1310778</vt:i4>
      </vt:variant>
      <vt:variant>
        <vt:i4>572</vt:i4>
      </vt:variant>
      <vt:variant>
        <vt:i4>0</vt:i4>
      </vt:variant>
      <vt:variant>
        <vt:i4>5</vt:i4>
      </vt:variant>
      <vt:variant>
        <vt:lpwstr/>
      </vt:variant>
      <vt:variant>
        <vt:lpwstr>_Toc168474450</vt:lpwstr>
      </vt:variant>
      <vt:variant>
        <vt:i4>1376314</vt:i4>
      </vt:variant>
      <vt:variant>
        <vt:i4>566</vt:i4>
      </vt:variant>
      <vt:variant>
        <vt:i4>0</vt:i4>
      </vt:variant>
      <vt:variant>
        <vt:i4>5</vt:i4>
      </vt:variant>
      <vt:variant>
        <vt:lpwstr/>
      </vt:variant>
      <vt:variant>
        <vt:lpwstr>_Toc168474449</vt:lpwstr>
      </vt:variant>
      <vt:variant>
        <vt:i4>1376314</vt:i4>
      </vt:variant>
      <vt:variant>
        <vt:i4>560</vt:i4>
      </vt:variant>
      <vt:variant>
        <vt:i4>0</vt:i4>
      </vt:variant>
      <vt:variant>
        <vt:i4>5</vt:i4>
      </vt:variant>
      <vt:variant>
        <vt:lpwstr/>
      </vt:variant>
      <vt:variant>
        <vt:lpwstr>_Toc168474448</vt:lpwstr>
      </vt:variant>
      <vt:variant>
        <vt:i4>1376314</vt:i4>
      </vt:variant>
      <vt:variant>
        <vt:i4>554</vt:i4>
      </vt:variant>
      <vt:variant>
        <vt:i4>0</vt:i4>
      </vt:variant>
      <vt:variant>
        <vt:i4>5</vt:i4>
      </vt:variant>
      <vt:variant>
        <vt:lpwstr/>
      </vt:variant>
      <vt:variant>
        <vt:lpwstr>_Toc168474447</vt:lpwstr>
      </vt:variant>
      <vt:variant>
        <vt:i4>1376314</vt:i4>
      </vt:variant>
      <vt:variant>
        <vt:i4>548</vt:i4>
      </vt:variant>
      <vt:variant>
        <vt:i4>0</vt:i4>
      </vt:variant>
      <vt:variant>
        <vt:i4>5</vt:i4>
      </vt:variant>
      <vt:variant>
        <vt:lpwstr/>
      </vt:variant>
      <vt:variant>
        <vt:lpwstr>_Toc168474446</vt:lpwstr>
      </vt:variant>
      <vt:variant>
        <vt:i4>1376314</vt:i4>
      </vt:variant>
      <vt:variant>
        <vt:i4>542</vt:i4>
      </vt:variant>
      <vt:variant>
        <vt:i4>0</vt:i4>
      </vt:variant>
      <vt:variant>
        <vt:i4>5</vt:i4>
      </vt:variant>
      <vt:variant>
        <vt:lpwstr/>
      </vt:variant>
      <vt:variant>
        <vt:lpwstr>_Toc168474445</vt:lpwstr>
      </vt:variant>
      <vt:variant>
        <vt:i4>1376314</vt:i4>
      </vt:variant>
      <vt:variant>
        <vt:i4>536</vt:i4>
      </vt:variant>
      <vt:variant>
        <vt:i4>0</vt:i4>
      </vt:variant>
      <vt:variant>
        <vt:i4>5</vt:i4>
      </vt:variant>
      <vt:variant>
        <vt:lpwstr/>
      </vt:variant>
      <vt:variant>
        <vt:lpwstr>_Toc168474444</vt:lpwstr>
      </vt:variant>
      <vt:variant>
        <vt:i4>1376314</vt:i4>
      </vt:variant>
      <vt:variant>
        <vt:i4>530</vt:i4>
      </vt:variant>
      <vt:variant>
        <vt:i4>0</vt:i4>
      </vt:variant>
      <vt:variant>
        <vt:i4>5</vt:i4>
      </vt:variant>
      <vt:variant>
        <vt:lpwstr/>
      </vt:variant>
      <vt:variant>
        <vt:lpwstr>_Toc168474443</vt:lpwstr>
      </vt:variant>
      <vt:variant>
        <vt:i4>1376314</vt:i4>
      </vt:variant>
      <vt:variant>
        <vt:i4>524</vt:i4>
      </vt:variant>
      <vt:variant>
        <vt:i4>0</vt:i4>
      </vt:variant>
      <vt:variant>
        <vt:i4>5</vt:i4>
      </vt:variant>
      <vt:variant>
        <vt:lpwstr/>
      </vt:variant>
      <vt:variant>
        <vt:lpwstr>_Toc168474442</vt:lpwstr>
      </vt:variant>
      <vt:variant>
        <vt:i4>1376314</vt:i4>
      </vt:variant>
      <vt:variant>
        <vt:i4>518</vt:i4>
      </vt:variant>
      <vt:variant>
        <vt:i4>0</vt:i4>
      </vt:variant>
      <vt:variant>
        <vt:i4>5</vt:i4>
      </vt:variant>
      <vt:variant>
        <vt:lpwstr/>
      </vt:variant>
      <vt:variant>
        <vt:lpwstr>_Toc168474441</vt:lpwstr>
      </vt:variant>
      <vt:variant>
        <vt:i4>1376314</vt:i4>
      </vt:variant>
      <vt:variant>
        <vt:i4>512</vt:i4>
      </vt:variant>
      <vt:variant>
        <vt:i4>0</vt:i4>
      </vt:variant>
      <vt:variant>
        <vt:i4>5</vt:i4>
      </vt:variant>
      <vt:variant>
        <vt:lpwstr/>
      </vt:variant>
      <vt:variant>
        <vt:lpwstr>_Toc168474440</vt:lpwstr>
      </vt:variant>
      <vt:variant>
        <vt:i4>1179706</vt:i4>
      </vt:variant>
      <vt:variant>
        <vt:i4>506</vt:i4>
      </vt:variant>
      <vt:variant>
        <vt:i4>0</vt:i4>
      </vt:variant>
      <vt:variant>
        <vt:i4>5</vt:i4>
      </vt:variant>
      <vt:variant>
        <vt:lpwstr/>
      </vt:variant>
      <vt:variant>
        <vt:lpwstr>_Toc168474439</vt:lpwstr>
      </vt:variant>
      <vt:variant>
        <vt:i4>1179706</vt:i4>
      </vt:variant>
      <vt:variant>
        <vt:i4>500</vt:i4>
      </vt:variant>
      <vt:variant>
        <vt:i4>0</vt:i4>
      </vt:variant>
      <vt:variant>
        <vt:i4>5</vt:i4>
      </vt:variant>
      <vt:variant>
        <vt:lpwstr/>
      </vt:variant>
      <vt:variant>
        <vt:lpwstr>_Toc168474438</vt:lpwstr>
      </vt:variant>
      <vt:variant>
        <vt:i4>1179706</vt:i4>
      </vt:variant>
      <vt:variant>
        <vt:i4>494</vt:i4>
      </vt:variant>
      <vt:variant>
        <vt:i4>0</vt:i4>
      </vt:variant>
      <vt:variant>
        <vt:i4>5</vt:i4>
      </vt:variant>
      <vt:variant>
        <vt:lpwstr/>
      </vt:variant>
      <vt:variant>
        <vt:lpwstr>_Toc168474437</vt:lpwstr>
      </vt:variant>
      <vt:variant>
        <vt:i4>1179706</vt:i4>
      </vt:variant>
      <vt:variant>
        <vt:i4>488</vt:i4>
      </vt:variant>
      <vt:variant>
        <vt:i4>0</vt:i4>
      </vt:variant>
      <vt:variant>
        <vt:i4>5</vt:i4>
      </vt:variant>
      <vt:variant>
        <vt:lpwstr/>
      </vt:variant>
      <vt:variant>
        <vt:lpwstr>_Toc168474436</vt:lpwstr>
      </vt:variant>
      <vt:variant>
        <vt:i4>1179706</vt:i4>
      </vt:variant>
      <vt:variant>
        <vt:i4>482</vt:i4>
      </vt:variant>
      <vt:variant>
        <vt:i4>0</vt:i4>
      </vt:variant>
      <vt:variant>
        <vt:i4>5</vt:i4>
      </vt:variant>
      <vt:variant>
        <vt:lpwstr/>
      </vt:variant>
      <vt:variant>
        <vt:lpwstr>_Toc168474435</vt:lpwstr>
      </vt:variant>
      <vt:variant>
        <vt:i4>1179706</vt:i4>
      </vt:variant>
      <vt:variant>
        <vt:i4>476</vt:i4>
      </vt:variant>
      <vt:variant>
        <vt:i4>0</vt:i4>
      </vt:variant>
      <vt:variant>
        <vt:i4>5</vt:i4>
      </vt:variant>
      <vt:variant>
        <vt:lpwstr/>
      </vt:variant>
      <vt:variant>
        <vt:lpwstr>_Toc168474434</vt:lpwstr>
      </vt:variant>
      <vt:variant>
        <vt:i4>1179706</vt:i4>
      </vt:variant>
      <vt:variant>
        <vt:i4>470</vt:i4>
      </vt:variant>
      <vt:variant>
        <vt:i4>0</vt:i4>
      </vt:variant>
      <vt:variant>
        <vt:i4>5</vt:i4>
      </vt:variant>
      <vt:variant>
        <vt:lpwstr/>
      </vt:variant>
      <vt:variant>
        <vt:lpwstr>_Toc168474433</vt:lpwstr>
      </vt:variant>
      <vt:variant>
        <vt:i4>1179706</vt:i4>
      </vt:variant>
      <vt:variant>
        <vt:i4>464</vt:i4>
      </vt:variant>
      <vt:variant>
        <vt:i4>0</vt:i4>
      </vt:variant>
      <vt:variant>
        <vt:i4>5</vt:i4>
      </vt:variant>
      <vt:variant>
        <vt:lpwstr/>
      </vt:variant>
      <vt:variant>
        <vt:lpwstr>_Toc168474432</vt:lpwstr>
      </vt:variant>
      <vt:variant>
        <vt:i4>1179706</vt:i4>
      </vt:variant>
      <vt:variant>
        <vt:i4>458</vt:i4>
      </vt:variant>
      <vt:variant>
        <vt:i4>0</vt:i4>
      </vt:variant>
      <vt:variant>
        <vt:i4>5</vt:i4>
      </vt:variant>
      <vt:variant>
        <vt:lpwstr/>
      </vt:variant>
      <vt:variant>
        <vt:lpwstr>_Toc168474431</vt:lpwstr>
      </vt:variant>
      <vt:variant>
        <vt:i4>1179706</vt:i4>
      </vt:variant>
      <vt:variant>
        <vt:i4>452</vt:i4>
      </vt:variant>
      <vt:variant>
        <vt:i4>0</vt:i4>
      </vt:variant>
      <vt:variant>
        <vt:i4>5</vt:i4>
      </vt:variant>
      <vt:variant>
        <vt:lpwstr/>
      </vt:variant>
      <vt:variant>
        <vt:lpwstr>_Toc168474430</vt:lpwstr>
      </vt:variant>
      <vt:variant>
        <vt:i4>1245242</vt:i4>
      </vt:variant>
      <vt:variant>
        <vt:i4>446</vt:i4>
      </vt:variant>
      <vt:variant>
        <vt:i4>0</vt:i4>
      </vt:variant>
      <vt:variant>
        <vt:i4>5</vt:i4>
      </vt:variant>
      <vt:variant>
        <vt:lpwstr/>
      </vt:variant>
      <vt:variant>
        <vt:lpwstr>_Toc168474429</vt:lpwstr>
      </vt:variant>
      <vt:variant>
        <vt:i4>1245242</vt:i4>
      </vt:variant>
      <vt:variant>
        <vt:i4>440</vt:i4>
      </vt:variant>
      <vt:variant>
        <vt:i4>0</vt:i4>
      </vt:variant>
      <vt:variant>
        <vt:i4>5</vt:i4>
      </vt:variant>
      <vt:variant>
        <vt:lpwstr/>
      </vt:variant>
      <vt:variant>
        <vt:lpwstr>_Toc168474428</vt:lpwstr>
      </vt:variant>
      <vt:variant>
        <vt:i4>1245242</vt:i4>
      </vt:variant>
      <vt:variant>
        <vt:i4>434</vt:i4>
      </vt:variant>
      <vt:variant>
        <vt:i4>0</vt:i4>
      </vt:variant>
      <vt:variant>
        <vt:i4>5</vt:i4>
      </vt:variant>
      <vt:variant>
        <vt:lpwstr/>
      </vt:variant>
      <vt:variant>
        <vt:lpwstr>_Toc168474427</vt:lpwstr>
      </vt:variant>
      <vt:variant>
        <vt:i4>1245242</vt:i4>
      </vt:variant>
      <vt:variant>
        <vt:i4>428</vt:i4>
      </vt:variant>
      <vt:variant>
        <vt:i4>0</vt:i4>
      </vt:variant>
      <vt:variant>
        <vt:i4>5</vt:i4>
      </vt:variant>
      <vt:variant>
        <vt:lpwstr/>
      </vt:variant>
      <vt:variant>
        <vt:lpwstr>_Toc168474426</vt:lpwstr>
      </vt:variant>
      <vt:variant>
        <vt:i4>1245242</vt:i4>
      </vt:variant>
      <vt:variant>
        <vt:i4>422</vt:i4>
      </vt:variant>
      <vt:variant>
        <vt:i4>0</vt:i4>
      </vt:variant>
      <vt:variant>
        <vt:i4>5</vt:i4>
      </vt:variant>
      <vt:variant>
        <vt:lpwstr/>
      </vt:variant>
      <vt:variant>
        <vt:lpwstr>_Toc168474425</vt:lpwstr>
      </vt:variant>
      <vt:variant>
        <vt:i4>1245242</vt:i4>
      </vt:variant>
      <vt:variant>
        <vt:i4>416</vt:i4>
      </vt:variant>
      <vt:variant>
        <vt:i4>0</vt:i4>
      </vt:variant>
      <vt:variant>
        <vt:i4>5</vt:i4>
      </vt:variant>
      <vt:variant>
        <vt:lpwstr/>
      </vt:variant>
      <vt:variant>
        <vt:lpwstr>_Toc168474424</vt:lpwstr>
      </vt:variant>
      <vt:variant>
        <vt:i4>1245242</vt:i4>
      </vt:variant>
      <vt:variant>
        <vt:i4>410</vt:i4>
      </vt:variant>
      <vt:variant>
        <vt:i4>0</vt:i4>
      </vt:variant>
      <vt:variant>
        <vt:i4>5</vt:i4>
      </vt:variant>
      <vt:variant>
        <vt:lpwstr/>
      </vt:variant>
      <vt:variant>
        <vt:lpwstr>_Toc168474423</vt:lpwstr>
      </vt:variant>
      <vt:variant>
        <vt:i4>1245242</vt:i4>
      </vt:variant>
      <vt:variant>
        <vt:i4>404</vt:i4>
      </vt:variant>
      <vt:variant>
        <vt:i4>0</vt:i4>
      </vt:variant>
      <vt:variant>
        <vt:i4>5</vt:i4>
      </vt:variant>
      <vt:variant>
        <vt:lpwstr/>
      </vt:variant>
      <vt:variant>
        <vt:lpwstr>_Toc168474422</vt:lpwstr>
      </vt:variant>
      <vt:variant>
        <vt:i4>1245242</vt:i4>
      </vt:variant>
      <vt:variant>
        <vt:i4>398</vt:i4>
      </vt:variant>
      <vt:variant>
        <vt:i4>0</vt:i4>
      </vt:variant>
      <vt:variant>
        <vt:i4>5</vt:i4>
      </vt:variant>
      <vt:variant>
        <vt:lpwstr/>
      </vt:variant>
      <vt:variant>
        <vt:lpwstr>_Toc168474421</vt:lpwstr>
      </vt:variant>
      <vt:variant>
        <vt:i4>1245242</vt:i4>
      </vt:variant>
      <vt:variant>
        <vt:i4>392</vt:i4>
      </vt:variant>
      <vt:variant>
        <vt:i4>0</vt:i4>
      </vt:variant>
      <vt:variant>
        <vt:i4>5</vt:i4>
      </vt:variant>
      <vt:variant>
        <vt:lpwstr/>
      </vt:variant>
      <vt:variant>
        <vt:lpwstr>_Toc168474420</vt:lpwstr>
      </vt:variant>
      <vt:variant>
        <vt:i4>1048634</vt:i4>
      </vt:variant>
      <vt:variant>
        <vt:i4>386</vt:i4>
      </vt:variant>
      <vt:variant>
        <vt:i4>0</vt:i4>
      </vt:variant>
      <vt:variant>
        <vt:i4>5</vt:i4>
      </vt:variant>
      <vt:variant>
        <vt:lpwstr/>
      </vt:variant>
      <vt:variant>
        <vt:lpwstr>_Toc168474419</vt:lpwstr>
      </vt:variant>
      <vt:variant>
        <vt:i4>1048634</vt:i4>
      </vt:variant>
      <vt:variant>
        <vt:i4>380</vt:i4>
      </vt:variant>
      <vt:variant>
        <vt:i4>0</vt:i4>
      </vt:variant>
      <vt:variant>
        <vt:i4>5</vt:i4>
      </vt:variant>
      <vt:variant>
        <vt:lpwstr/>
      </vt:variant>
      <vt:variant>
        <vt:lpwstr>_Toc168474418</vt:lpwstr>
      </vt:variant>
      <vt:variant>
        <vt:i4>1048634</vt:i4>
      </vt:variant>
      <vt:variant>
        <vt:i4>374</vt:i4>
      </vt:variant>
      <vt:variant>
        <vt:i4>0</vt:i4>
      </vt:variant>
      <vt:variant>
        <vt:i4>5</vt:i4>
      </vt:variant>
      <vt:variant>
        <vt:lpwstr/>
      </vt:variant>
      <vt:variant>
        <vt:lpwstr>_Toc168474417</vt:lpwstr>
      </vt:variant>
      <vt:variant>
        <vt:i4>1048634</vt:i4>
      </vt:variant>
      <vt:variant>
        <vt:i4>368</vt:i4>
      </vt:variant>
      <vt:variant>
        <vt:i4>0</vt:i4>
      </vt:variant>
      <vt:variant>
        <vt:i4>5</vt:i4>
      </vt:variant>
      <vt:variant>
        <vt:lpwstr/>
      </vt:variant>
      <vt:variant>
        <vt:lpwstr>_Toc168474416</vt:lpwstr>
      </vt:variant>
      <vt:variant>
        <vt:i4>1048634</vt:i4>
      </vt:variant>
      <vt:variant>
        <vt:i4>362</vt:i4>
      </vt:variant>
      <vt:variant>
        <vt:i4>0</vt:i4>
      </vt:variant>
      <vt:variant>
        <vt:i4>5</vt:i4>
      </vt:variant>
      <vt:variant>
        <vt:lpwstr/>
      </vt:variant>
      <vt:variant>
        <vt:lpwstr>_Toc168474415</vt:lpwstr>
      </vt:variant>
      <vt:variant>
        <vt:i4>1048634</vt:i4>
      </vt:variant>
      <vt:variant>
        <vt:i4>356</vt:i4>
      </vt:variant>
      <vt:variant>
        <vt:i4>0</vt:i4>
      </vt:variant>
      <vt:variant>
        <vt:i4>5</vt:i4>
      </vt:variant>
      <vt:variant>
        <vt:lpwstr/>
      </vt:variant>
      <vt:variant>
        <vt:lpwstr>_Toc168474414</vt:lpwstr>
      </vt:variant>
      <vt:variant>
        <vt:i4>1048634</vt:i4>
      </vt:variant>
      <vt:variant>
        <vt:i4>350</vt:i4>
      </vt:variant>
      <vt:variant>
        <vt:i4>0</vt:i4>
      </vt:variant>
      <vt:variant>
        <vt:i4>5</vt:i4>
      </vt:variant>
      <vt:variant>
        <vt:lpwstr/>
      </vt:variant>
      <vt:variant>
        <vt:lpwstr>_Toc168474413</vt:lpwstr>
      </vt:variant>
      <vt:variant>
        <vt:i4>1048634</vt:i4>
      </vt:variant>
      <vt:variant>
        <vt:i4>344</vt:i4>
      </vt:variant>
      <vt:variant>
        <vt:i4>0</vt:i4>
      </vt:variant>
      <vt:variant>
        <vt:i4>5</vt:i4>
      </vt:variant>
      <vt:variant>
        <vt:lpwstr/>
      </vt:variant>
      <vt:variant>
        <vt:lpwstr>_Toc168474412</vt:lpwstr>
      </vt:variant>
      <vt:variant>
        <vt:i4>1048634</vt:i4>
      </vt:variant>
      <vt:variant>
        <vt:i4>338</vt:i4>
      </vt:variant>
      <vt:variant>
        <vt:i4>0</vt:i4>
      </vt:variant>
      <vt:variant>
        <vt:i4>5</vt:i4>
      </vt:variant>
      <vt:variant>
        <vt:lpwstr/>
      </vt:variant>
      <vt:variant>
        <vt:lpwstr>_Toc168474411</vt:lpwstr>
      </vt:variant>
      <vt:variant>
        <vt:i4>1048634</vt:i4>
      </vt:variant>
      <vt:variant>
        <vt:i4>332</vt:i4>
      </vt:variant>
      <vt:variant>
        <vt:i4>0</vt:i4>
      </vt:variant>
      <vt:variant>
        <vt:i4>5</vt:i4>
      </vt:variant>
      <vt:variant>
        <vt:lpwstr/>
      </vt:variant>
      <vt:variant>
        <vt:lpwstr>_Toc168474410</vt:lpwstr>
      </vt:variant>
      <vt:variant>
        <vt:i4>1114170</vt:i4>
      </vt:variant>
      <vt:variant>
        <vt:i4>326</vt:i4>
      </vt:variant>
      <vt:variant>
        <vt:i4>0</vt:i4>
      </vt:variant>
      <vt:variant>
        <vt:i4>5</vt:i4>
      </vt:variant>
      <vt:variant>
        <vt:lpwstr/>
      </vt:variant>
      <vt:variant>
        <vt:lpwstr>_Toc168474409</vt:lpwstr>
      </vt:variant>
      <vt:variant>
        <vt:i4>1114170</vt:i4>
      </vt:variant>
      <vt:variant>
        <vt:i4>320</vt:i4>
      </vt:variant>
      <vt:variant>
        <vt:i4>0</vt:i4>
      </vt:variant>
      <vt:variant>
        <vt:i4>5</vt:i4>
      </vt:variant>
      <vt:variant>
        <vt:lpwstr/>
      </vt:variant>
      <vt:variant>
        <vt:lpwstr>_Toc168474408</vt:lpwstr>
      </vt:variant>
      <vt:variant>
        <vt:i4>1114170</vt:i4>
      </vt:variant>
      <vt:variant>
        <vt:i4>314</vt:i4>
      </vt:variant>
      <vt:variant>
        <vt:i4>0</vt:i4>
      </vt:variant>
      <vt:variant>
        <vt:i4>5</vt:i4>
      </vt:variant>
      <vt:variant>
        <vt:lpwstr/>
      </vt:variant>
      <vt:variant>
        <vt:lpwstr>_Toc168474407</vt:lpwstr>
      </vt:variant>
      <vt:variant>
        <vt:i4>1114170</vt:i4>
      </vt:variant>
      <vt:variant>
        <vt:i4>308</vt:i4>
      </vt:variant>
      <vt:variant>
        <vt:i4>0</vt:i4>
      </vt:variant>
      <vt:variant>
        <vt:i4>5</vt:i4>
      </vt:variant>
      <vt:variant>
        <vt:lpwstr/>
      </vt:variant>
      <vt:variant>
        <vt:lpwstr>_Toc168474406</vt:lpwstr>
      </vt:variant>
      <vt:variant>
        <vt:i4>1114170</vt:i4>
      </vt:variant>
      <vt:variant>
        <vt:i4>302</vt:i4>
      </vt:variant>
      <vt:variant>
        <vt:i4>0</vt:i4>
      </vt:variant>
      <vt:variant>
        <vt:i4>5</vt:i4>
      </vt:variant>
      <vt:variant>
        <vt:lpwstr/>
      </vt:variant>
      <vt:variant>
        <vt:lpwstr>_Toc168474405</vt:lpwstr>
      </vt:variant>
      <vt:variant>
        <vt:i4>1114170</vt:i4>
      </vt:variant>
      <vt:variant>
        <vt:i4>296</vt:i4>
      </vt:variant>
      <vt:variant>
        <vt:i4>0</vt:i4>
      </vt:variant>
      <vt:variant>
        <vt:i4>5</vt:i4>
      </vt:variant>
      <vt:variant>
        <vt:lpwstr/>
      </vt:variant>
      <vt:variant>
        <vt:lpwstr>_Toc168474404</vt:lpwstr>
      </vt:variant>
      <vt:variant>
        <vt:i4>1114170</vt:i4>
      </vt:variant>
      <vt:variant>
        <vt:i4>290</vt:i4>
      </vt:variant>
      <vt:variant>
        <vt:i4>0</vt:i4>
      </vt:variant>
      <vt:variant>
        <vt:i4>5</vt:i4>
      </vt:variant>
      <vt:variant>
        <vt:lpwstr/>
      </vt:variant>
      <vt:variant>
        <vt:lpwstr>_Toc168474403</vt:lpwstr>
      </vt:variant>
      <vt:variant>
        <vt:i4>1114170</vt:i4>
      </vt:variant>
      <vt:variant>
        <vt:i4>284</vt:i4>
      </vt:variant>
      <vt:variant>
        <vt:i4>0</vt:i4>
      </vt:variant>
      <vt:variant>
        <vt:i4>5</vt:i4>
      </vt:variant>
      <vt:variant>
        <vt:lpwstr/>
      </vt:variant>
      <vt:variant>
        <vt:lpwstr>_Toc168474402</vt:lpwstr>
      </vt:variant>
      <vt:variant>
        <vt:i4>1114170</vt:i4>
      </vt:variant>
      <vt:variant>
        <vt:i4>278</vt:i4>
      </vt:variant>
      <vt:variant>
        <vt:i4>0</vt:i4>
      </vt:variant>
      <vt:variant>
        <vt:i4>5</vt:i4>
      </vt:variant>
      <vt:variant>
        <vt:lpwstr/>
      </vt:variant>
      <vt:variant>
        <vt:lpwstr>_Toc168474401</vt:lpwstr>
      </vt:variant>
      <vt:variant>
        <vt:i4>1114170</vt:i4>
      </vt:variant>
      <vt:variant>
        <vt:i4>272</vt:i4>
      </vt:variant>
      <vt:variant>
        <vt:i4>0</vt:i4>
      </vt:variant>
      <vt:variant>
        <vt:i4>5</vt:i4>
      </vt:variant>
      <vt:variant>
        <vt:lpwstr/>
      </vt:variant>
      <vt:variant>
        <vt:lpwstr>_Toc168474400</vt:lpwstr>
      </vt:variant>
      <vt:variant>
        <vt:i4>1572925</vt:i4>
      </vt:variant>
      <vt:variant>
        <vt:i4>266</vt:i4>
      </vt:variant>
      <vt:variant>
        <vt:i4>0</vt:i4>
      </vt:variant>
      <vt:variant>
        <vt:i4>5</vt:i4>
      </vt:variant>
      <vt:variant>
        <vt:lpwstr/>
      </vt:variant>
      <vt:variant>
        <vt:lpwstr>_Toc168474399</vt:lpwstr>
      </vt:variant>
      <vt:variant>
        <vt:i4>1572925</vt:i4>
      </vt:variant>
      <vt:variant>
        <vt:i4>260</vt:i4>
      </vt:variant>
      <vt:variant>
        <vt:i4>0</vt:i4>
      </vt:variant>
      <vt:variant>
        <vt:i4>5</vt:i4>
      </vt:variant>
      <vt:variant>
        <vt:lpwstr/>
      </vt:variant>
      <vt:variant>
        <vt:lpwstr>_Toc168474398</vt:lpwstr>
      </vt:variant>
      <vt:variant>
        <vt:i4>1572925</vt:i4>
      </vt:variant>
      <vt:variant>
        <vt:i4>254</vt:i4>
      </vt:variant>
      <vt:variant>
        <vt:i4>0</vt:i4>
      </vt:variant>
      <vt:variant>
        <vt:i4>5</vt:i4>
      </vt:variant>
      <vt:variant>
        <vt:lpwstr/>
      </vt:variant>
      <vt:variant>
        <vt:lpwstr>_Toc168474397</vt:lpwstr>
      </vt:variant>
      <vt:variant>
        <vt:i4>1572925</vt:i4>
      </vt:variant>
      <vt:variant>
        <vt:i4>248</vt:i4>
      </vt:variant>
      <vt:variant>
        <vt:i4>0</vt:i4>
      </vt:variant>
      <vt:variant>
        <vt:i4>5</vt:i4>
      </vt:variant>
      <vt:variant>
        <vt:lpwstr/>
      </vt:variant>
      <vt:variant>
        <vt:lpwstr>_Toc168474396</vt:lpwstr>
      </vt:variant>
      <vt:variant>
        <vt:i4>1572925</vt:i4>
      </vt:variant>
      <vt:variant>
        <vt:i4>242</vt:i4>
      </vt:variant>
      <vt:variant>
        <vt:i4>0</vt:i4>
      </vt:variant>
      <vt:variant>
        <vt:i4>5</vt:i4>
      </vt:variant>
      <vt:variant>
        <vt:lpwstr/>
      </vt:variant>
      <vt:variant>
        <vt:lpwstr>_Toc168474395</vt:lpwstr>
      </vt:variant>
      <vt:variant>
        <vt:i4>1572925</vt:i4>
      </vt:variant>
      <vt:variant>
        <vt:i4>236</vt:i4>
      </vt:variant>
      <vt:variant>
        <vt:i4>0</vt:i4>
      </vt:variant>
      <vt:variant>
        <vt:i4>5</vt:i4>
      </vt:variant>
      <vt:variant>
        <vt:lpwstr/>
      </vt:variant>
      <vt:variant>
        <vt:lpwstr>_Toc168474394</vt:lpwstr>
      </vt:variant>
      <vt:variant>
        <vt:i4>1572925</vt:i4>
      </vt:variant>
      <vt:variant>
        <vt:i4>230</vt:i4>
      </vt:variant>
      <vt:variant>
        <vt:i4>0</vt:i4>
      </vt:variant>
      <vt:variant>
        <vt:i4>5</vt:i4>
      </vt:variant>
      <vt:variant>
        <vt:lpwstr/>
      </vt:variant>
      <vt:variant>
        <vt:lpwstr>_Toc168474393</vt:lpwstr>
      </vt:variant>
      <vt:variant>
        <vt:i4>1572925</vt:i4>
      </vt:variant>
      <vt:variant>
        <vt:i4>224</vt:i4>
      </vt:variant>
      <vt:variant>
        <vt:i4>0</vt:i4>
      </vt:variant>
      <vt:variant>
        <vt:i4>5</vt:i4>
      </vt:variant>
      <vt:variant>
        <vt:lpwstr/>
      </vt:variant>
      <vt:variant>
        <vt:lpwstr>_Toc168474392</vt:lpwstr>
      </vt:variant>
      <vt:variant>
        <vt:i4>1572925</vt:i4>
      </vt:variant>
      <vt:variant>
        <vt:i4>218</vt:i4>
      </vt:variant>
      <vt:variant>
        <vt:i4>0</vt:i4>
      </vt:variant>
      <vt:variant>
        <vt:i4>5</vt:i4>
      </vt:variant>
      <vt:variant>
        <vt:lpwstr/>
      </vt:variant>
      <vt:variant>
        <vt:lpwstr>_Toc168474391</vt:lpwstr>
      </vt:variant>
      <vt:variant>
        <vt:i4>1572925</vt:i4>
      </vt:variant>
      <vt:variant>
        <vt:i4>212</vt:i4>
      </vt:variant>
      <vt:variant>
        <vt:i4>0</vt:i4>
      </vt:variant>
      <vt:variant>
        <vt:i4>5</vt:i4>
      </vt:variant>
      <vt:variant>
        <vt:lpwstr/>
      </vt:variant>
      <vt:variant>
        <vt:lpwstr>_Toc168474390</vt:lpwstr>
      </vt:variant>
      <vt:variant>
        <vt:i4>1638461</vt:i4>
      </vt:variant>
      <vt:variant>
        <vt:i4>206</vt:i4>
      </vt:variant>
      <vt:variant>
        <vt:i4>0</vt:i4>
      </vt:variant>
      <vt:variant>
        <vt:i4>5</vt:i4>
      </vt:variant>
      <vt:variant>
        <vt:lpwstr/>
      </vt:variant>
      <vt:variant>
        <vt:lpwstr>_Toc168474389</vt:lpwstr>
      </vt:variant>
      <vt:variant>
        <vt:i4>1638461</vt:i4>
      </vt:variant>
      <vt:variant>
        <vt:i4>200</vt:i4>
      </vt:variant>
      <vt:variant>
        <vt:i4>0</vt:i4>
      </vt:variant>
      <vt:variant>
        <vt:i4>5</vt:i4>
      </vt:variant>
      <vt:variant>
        <vt:lpwstr/>
      </vt:variant>
      <vt:variant>
        <vt:lpwstr>_Toc168474388</vt:lpwstr>
      </vt:variant>
      <vt:variant>
        <vt:i4>1638461</vt:i4>
      </vt:variant>
      <vt:variant>
        <vt:i4>194</vt:i4>
      </vt:variant>
      <vt:variant>
        <vt:i4>0</vt:i4>
      </vt:variant>
      <vt:variant>
        <vt:i4>5</vt:i4>
      </vt:variant>
      <vt:variant>
        <vt:lpwstr/>
      </vt:variant>
      <vt:variant>
        <vt:lpwstr>_Toc168474387</vt:lpwstr>
      </vt:variant>
      <vt:variant>
        <vt:i4>1638461</vt:i4>
      </vt:variant>
      <vt:variant>
        <vt:i4>188</vt:i4>
      </vt:variant>
      <vt:variant>
        <vt:i4>0</vt:i4>
      </vt:variant>
      <vt:variant>
        <vt:i4>5</vt:i4>
      </vt:variant>
      <vt:variant>
        <vt:lpwstr/>
      </vt:variant>
      <vt:variant>
        <vt:lpwstr>_Toc168474386</vt:lpwstr>
      </vt:variant>
      <vt:variant>
        <vt:i4>1638461</vt:i4>
      </vt:variant>
      <vt:variant>
        <vt:i4>182</vt:i4>
      </vt:variant>
      <vt:variant>
        <vt:i4>0</vt:i4>
      </vt:variant>
      <vt:variant>
        <vt:i4>5</vt:i4>
      </vt:variant>
      <vt:variant>
        <vt:lpwstr/>
      </vt:variant>
      <vt:variant>
        <vt:lpwstr>_Toc168474385</vt:lpwstr>
      </vt:variant>
      <vt:variant>
        <vt:i4>1638461</vt:i4>
      </vt:variant>
      <vt:variant>
        <vt:i4>176</vt:i4>
      </vt:variant>
      <vt:variant>
        <vt:i4>0</vt:i4>
      </vt:variant>
      <vt:variant>
        <vt:i4>5</vt:i4>
      </vt:variant>
      <vt:variant>
        <vt:lpwstr/>
      </vt:variant>
      <vt:variant>
        <vt:lpwstr>_Toc168474384</vt:lpwstr>
      </vt:variant>
      <vt:variant>
        <vt:i4>1638461</vt:i4>
      </vt:variant>
      <vt:variant>
        <vt:i4>170</vt:i4>
      </vt:variant>
      <vt:variant>
        <vt:i4>0</vt:i4>
      </vt:variant>
      <vt:variant>
        <vt:i4>5</vt:i4>
      </vt:variant>
      <vt:variant>
        <vt:lpwstr/>
      </vt:variant>
      <vt:variant>
        <vt:lpwstr>_Toc168474383</vt:lpwstr>
      </vt:variant>
      <vt:variant>
        <vt:i4>1638461</vt:i4>
      </vt:variant>
      <vt:variant>
        <vt:i4>164</vt:i4>
      </vt:variant>
      <vt:variant>
        <vt:i4>0</vt:i4>
      </vt:variant>
      <vt:variant>
        <vt:i4>5</vt:i4>
      </vt:variant>
      <vt:variant>
        <vt:lpwstr/>
      </vt:variant>
      <vt:variant>
        <vt:lpwstr>_Toc168474382</vt:lpwstr>
      </vt:variant>
      <vt:variant>
        <vt:i4>1638461</vt:i4>
      </vt:variant>
      <vt:variant>
        <vt:i4>158</vt:i4>
      </vt:variant>
      <vt:variant>
        <vt:i4>0</vt:i4>
      </vt:variant>
      <vt:variant>
        <vt:i4>5</vt:i4>
      </vt:variant>
      <vt:variant>
        <vt:lpwstr/>
      </vt:variant>
      <vt:variant>
        <vt:lpwstr>_Toc168474381</vt:lpwstr>
      </vt:variant>
      <vt:variant>
        <vt:i4>1638461</vt:i4>
      </vt:variant>
      <vt:variant>
        <vt:i4>152</vt:i4>
      </vt:variant>
      <vt:variant>
        <vt:i4>0</vt:i4>
      </vt:variant>
      <vt:variant>
        <vt:i4>5</vt:i4>
      </vt:variant>
      <vt:variant>
        <vt:lpwstr/>
      </vt:variant>
      <vt:variant>
        <vt:lpwstr>_Toc168474380</vt:lpwstr>
      </vt:variant>
      <vt:variant>
        <vt:i4>1441853</vt:i4>
      </vt:variant>
      <vt:variant>
        <vt:i4>146</vt:i4>
      </vt:variant>
      <vt:variant>
        <vt:i4>0</vt:i4>
      </vt:variant>
      <vt:variant>
        <vt:i4>5</vt:i4>
      </vt:variant>
      <vt:variant>
        <vt:lpwstr/>
      </vt:variant>
      <vt:variant>
        <vt:lpwstr>_Toc168474379</vt:lpwstr>
      </vt:variant>
      <vt:variant>
        <vt:i4>1441853</vt:i4>
      </vt:variant>
      <vt:variant>
        <vt:i4>140</vt:i4>
      </vt:variant>
      <vt:variant>
        <vt:i4>0</vt:i4>
      </vt:variant>
      <vt:variant>
        <vt:i4>5</vt:i4>
      </vt:variant>
      <vt:variant>
        <vt:lpwstr/>
      </vt:variant>
      <vt:variant>
        <vt:lpwstr>_Toc168474378</vt:lpwstr>
      </vt:variant>
      <vt:variant>
        <vt:i4>1441853</vt:i4>
      </vt:variant>
      <vt:variant>
        <vt:i4>134</vt:i4>
      </vt:variant>
      <vt:variant>
        <vt:i4>0</vt:i4>
      </vt:variant>
      <vt:variant>
        <vt:i4>5</vt:i4>
      </vt:variant>
      <vt:variant>
        <vt:lpwstr/>
      </vt:variant>
      <vt:variant>
        <vt:lpwstr>_Toc168474377</vt:lpwstr>
      </vt:variant>
      <vt:variant>
        <vt:i4>1441853</vt:i4>
      </vt:variant>
      <vt:variant>
        <vt:i4>128</vt:i4>
      </vt:variant>
      <vt:variant>
        <vt:i4>0</vt:i4>
      </vt:variant>
      <vt:variant>
        <vt:i4>5</vt:i4>
      </vt:variant>
      <vt:variant>
        <vt:lpwstr/>
      </vt:variant>
      <vt:variant>
        <vt:lpwstr>_Toc168474376</vt:lpwstr>
      </vt:variant>
      <vt:variant>
        <vt:i4>1441853</vt:i4>
      </vt:variant>
      <vt:variant>
        <vt:i4>122</vt:i4>
      </vt:variant>
      <vt:variant>
        <vt:i4>0</vt:i4>
      </vt:variant>
      <vt:variant>
        <vt:i4>5</vt:i4>
      </vt:variant>
      <vt:variant>
        <vt:lpwstr/>
      </vt:variant>
      <vt:variant>
        <vt:lpwstr>_Toc168474375</vt:lpwstr>
      </vt:variant>
      <vt:variant>
        <vt:i4>1441853</vt:i4>
      </vt:variant>
      <vt:variant>
        <vt:i4>116</vt:i4>
      </vt:variant>
      <vt:variant>
        <vt:i4>0</vt:i4>
      </vt:variant>
      <vt:variant>
        <vt:i4>5</vt:i4>
      </vt:variant>
      <vt:variant>
        <vt:lpwstr/>
      </vt:variant>
      <vt:variant>
        <vt:lpwstr>_Toc168474374</vt:lpwstr>
      </vt:variant>
      <vt:variant>
        <vt:i4>1441853</vt:i4>
      </vt:variant>
      <vt:variant>
        <vt:i4>110</vt:i4>
      </vt:variant>
      <vt:variant>
        <vt:i4>0</vt:i4>
      </vt:variant>
      <vt:variant>
        <vt:i4>5</vt:i4>
      </vt:variant>
      <vt:variant>
        <vt:lpwstr/>
      </vt:variant>
      <vt:variant>
        <vt:lpwstr>_Toc168474373</vt:lpwstr>
      </vt:variant>
      <vt:variant>
        <vt:i4>1441853</vt:i4>
      </vt:variant>
      <vt:variant>
        <vt:i4>104</vt:i4>
      </vt:variant>
      <vt:variant>
        <vt:i4>0</vt:i4>
      </vt:variant>
      <vt:variant>
        <vt:i4>5</vt:i4>
      </vt:variant>
      <vt:variant>
        <vt:lpwstr/>
      </vt:variant>
      <vt:variant>
        <vt:lpwstr>_Toc168474372</vt:lpwstr>
      </vt:variant>
      <vt:variant>
        <vt:i4>1441853</vt:i4>
      </vt:variant>
      <vt:variant>
        <vt:i4>98</vt:i4>
      </vt:variant>
      <vt:variant>
        <vt:i4>0</vt:i4>
      </vt:variant>
      <vt:variant>
        <vt:i4>5</vt:i4>
      </vt:variant>
      <vt:variant>
        <vt:lpwstr/>
      </vt:variant>
      <vt:variant>
        <vt:lpwstr>_Toc168474371</vt:lpwstr>
      </vt:variant>
      <vt:variant>
        <vt:i4>1441853</vt:i4>
      </vt:variant>
      <vt:variant>
        <vt:i4>92</vt:i4>
      </vt:variant>
      <vt:variant>
        <vt:i4>0</vt:i4>
      </vt:variant>
      <vt:variant>
        <vt:i4>5</vt:i4>
      </vt:variant>
      <vt:variant>
        <vt:lpwstr/>
      </vt:variant>
      <vt:variant>
        <vt:lpwstr>_Toc168474370</vt:lpwstr>
      </vt:variant>
      <vt:variant>
        <vt:i4>1507389</vt:i4>
      </vt:variant>
      <vt:variant>
        <vt:i4>86</vt:i4>
      </vt:variant>
      <vt:variant>
        <vt:i4>0</vt:i4>
      </vt:variant>
      <vt:variant>
        <vt:i4>5</vt:i4>
      </vt:variant>
      <vt:variant>
        <vt:lpwstr/>
      </vt:variant>
      <vt:variant>
        <vt:lpwstr>_Toc168474369</vt:lpwstr>
      </vt:variant>
      <vt:variant>
        <vt:i4>1507389</vt:i4>
      </vt:variant>
      <vt:variant>
        <vt:i4>80</vt:i4>
      </vt:variant>
      <vt:variant>
        <vt:i4>0</vt:i4>
      </vt:variant>
      <vt:variant>
        <vt:i4>5</vt:i4>
      </vt:variant>
      <vt:variant>
        <vt:lpwstr/>
      </vt:variant>
      <vt:variant>
        <vt:lpwstr>_Toc168474368</vt:lpwstr>
      </vt:variant>
      <vt:variant>
        <vt:i4>1507389</vt:i4>
      </vt:variant>
      <vt:variant>
        <vt:i4>74</vt:i4>
      </vt:variant>
      <vt:variant>
        <vt:i4>0</vt:i4>
      </vt:variant>
      <vt:variant>
        <vt:i4>5</vt:i4>
      </vt:variant>
      <vt:variant>
        <vt:lpwstr/>
      </vt:variant>
      <vt:variant>
        <vt:lpwstr>_Toc168474367</vt:lpwstr>
      </vt:variant>
      <vt:variant>
        <vt:i4>1507389</vt:i4>
      </vt:variant>
      <vt:variant>
        <vt:i4>68</vt:i4>
      </vt:variant>
      <vt:variant>
        <vt:i4>0</vt:i4>
      </vt:variant>
      <vt:variant>
        <vt:i4>5</vt:i4>
      </vt:variant>
      <vt:variant>
        <vt:lpwstr/>
      </vt:variant>
      <vt:variant>
        <vt:lpwstr>_Toc168474366</vt:lpwstr>
      </vt:variant>
      <vt:variant>
        <vt:i4>1507389</vt:i4>
      </vt:variant>
      <vt:variant>
        <vt:i4>62</vt:i4>
      </vt:variant>
      <vt:variant>
        <vt:i4>0</vt:i4>
      </vt:variant>
      <vt:variant>
        <vt:i4>5</vt:i4>
      </vt:variant>
      <vt:variant>
        <vt:lpwstr/>
      </vt:variant>
      <vt:variant>
        <vt:lpwstr>_Toc168474365</vt:lpwstr>
      </vt:variant>
      <vt:variant>
        <vt:i4>1507389</vt:i4>
      </vt:variant>
      <vt:variant>
        <vt:i4>56</vt:i4>
      </vt:variant>
      <vt:variant>
        <vt:i4>0</vt:i4>
      </vt:variant>
      <vt:variant>
        <vt:i4>5</vt:i4>
      </vt:variant>
      <vt:variant>
        <vt:lpwstr/>
      </vt:variant>
      <vt:variant>
        <vt:lpwstr>_Toc168474364</vt:lpwstr>
      </vt:variant>
      <vt:variant>
        <vt:i4>1507389</vt:i4>
      </vt:variant>
      <vt:variant>
        <vt:i4>50</vt:i4>
      </vt:variant>
      <vt:variant>
        <vt:i4>0</vt:i4>
      </vt:variant>
      <vt:variant>
        <vt:i4>5</vt:i4>
      </vt:variant>
      <vt:variant>
        <vt:lpwstr/>
      </vt:variant>
      <vt:variant>
        <vt:lpwstr>_Toc168474363</vt:lpwstr>
      </vt:variant>
      <vt:variant>
        <vt:i4>1507389</vt:i4>
      </vt:variant>
      <vt:variant>
        <vt:i4>44</vt:i4>
      </vt:variant>
      <vt:variant>
        <vt:i4>0</vt:i4>
      </vt:variant>
      <vt:variant>
        <vt:i4>5</vt:i4>
      </vt:variant>
      <vt:variant>
        <vt:lpwstr/>
      </vt:variant>
      <vt:variant>
        <vt:lpwstr>_Toc168474362</vt:lpwstr>
      </vt:variant>
      <vt:variant>
        <vt:i4>1507389</vt:i4>
      </vt:variant>
      <vt:variant>
        <vt:i4>38</vt:i4>
      </vt:variant>
      <vt:variant>
        <vt:i4>0</vt:i4>
      </vt:variant>
      <vt:variant>
        <vt:i4>5</vt:i4>
      </vt:variant>
      <vt:variant>
        <vt:lpwstr/>
      </vt:variant>
      <vt:variant>
        <vt:lpwstr>_Toc168474361</vt:lpwstr>
      </vt:variant>
      <vt:variant>
        <vt:i4>1507389</vt:i4>
      </vt:variant>
      <vt:variant>
        <vt:i4>32</vt:i4>
      </vt:variant>
      <vt:variant>
        <vt:i4>0</vt:i4>
      </vt:variant>
      <vt:variant>
        <vt:i4>5</vt:i4>
      </vt:variant>
      <vt:variant>
        <vt:lpwstr/>
      </vt:variant>
      <vt:variant>
        <vt:lpwstr>_Toc168474360</vt:lpwstr>
      </vt:variant>
      <vt:variant>
        <vt:i4>1310781</vt:i4>
      </vt:variant>
      <vt:variant>
        <vt:i4>26</vt:i4>
      </vt:variant>
      <vt:variant>
        <vt:i4>0</vt:i4>
      </vt:variant>
      <vt:variant>
        <vt:i4>5</vt:i4>
      </vt:variant>
      <vt:variant>
        <vt:lpwstr/>
      </vt:variant>
      <vt:variant>
        <vt:lpwstr>_Toc168474359</vt:lpwstr>
      </vt:variant>
      <vt:variant>
        <vt:i4>1310781</vt:i4>
      </vt:variant>
      <vt:variant>
        <vt:i4>20</vt:i4>
      </vt:variant>
      <vt:variant>
        <vt:i4>0</vt:i4>
      </vt:variant>
      <vt:variant>
        <vt:i4>5</vt:i4>
      </vt:variant>
      <vt:variant>
        <vt:lpwstr/>
      </vt:variant>
      <vt:variant>
        <vt:lpwstr>_Toc168474358</vt:lpwstr>
      </vt:variant>
      <vt:variant>
        <vt:i4>1310781</vt:i4>
      </vt:variant>
      <vt:variant>
        <vt:i4>14</vt:i4>
      </vt:variant>
      <vt:variant>
        <vt:i4>0</vt:i4>
      </vt:variant>
      <vt:variant>
        <vt:i4>5</vt:i4>
      </vt:variant>
      <vt:variant>
        <vt:lpwstr/>
      </vt:variant>
      <vt:variant>
        <vt:lpwstr>_Toc168474357</vt:lpwstr>
      </vt:variant>
      <vt:variant>
        <vt:i4>1310781</vt:i4>
      </vt:variant>
      <vt:variant>
        <vt:i4>8</vt:i4>
      </vt:variant>
      <vt:variant>
        <vt:i4>0</vt:i4>
      </vt:variant>
      <vt:variant>
        <vt:i4>5</vt:i4>
      </vt:variant>
      <vt:variant>
        <vt:lpwstr/>
      </vt:variant>
      <vt:variant>
        <vt:lpwstr>_Toc168474356</vt:lpwstr>
      </vt:variant>
      <vt:variant>
        <vt:i4>1310781</vt:i4>
      </vt:variant>
      <vt:variant>
        <vt:i4>2</vt:i4>
      </vt:variant>
      <vt:variant>
        <vt:i4>0</vt:i4>
      </vt:variant>
      <vt:variant>
        <vt:i4>5</vt:i4>
      </vt:variant>
      <vt:variant>
        <vt:lpwstr/>
      </vt:variant>
      <vt:variant>
        <vt:lpwstr>_Toc168474355</vt:lpwstr>
      </vt:variant>
      <vt:variant>
        <vt:i4>4456538</vt:i4>
      </vt:variant>
      <vt:variant>
        <vt:i4>27</vt:i4>
      </vt:variant>
      <vt:variant>
        <vt:i4>0</vt:i4>
      </vt:variant>
      <vt:variant>
        <vt:i4>5</vt:i4>
      </vt:variant>
      <vt:variant>
        <vt:lpwstr>http://www.mosaicmethod.com/</vt:lpwstr>
      </vt:variant>
      <vt:variant>
        <vt:lpwstr/>
      </vt:variant>
      <vt:variant>
        <vt:i4>7143545</vt:i4>
      </vt:variant>
      <vt:variant>
        <vt:i4>24</vt:i4>
      </vt:variant>
      <vt:variant>
        <vt:i4>0</vt:i4>
      </vt:variant>
      <vt:variant>
        <vt:i4>5</vt:i4>
      </vt:variant>
      <vt:variant>
        <vt:lpwstr>http://hcr-20.com/</vt:lpwstr>
      </vt:variant>
      <vt:variant>
        <vt:lpwstr/>
      </vt:variant>
      <vt:variant>
        <vt:i4>7733372</vt:i4>
      </vt:variant>
      <vt:variant>
        <vt:i4>21</vt:i4>
      </vt:variant>
      <vt:variant>
        <vt:i4>0</vt:i4>
      </vt:variant>
      <vt:variant>
        <vt:i4>5</vt:i4>
      </vt:variant>
      <vt:variant>
        <vt:lpwstr>http://www.wavr21.com/</vt:lpwstr>
      </vt:variant>
      <vt:variant>
        <vt:lpwstr/>
      </vt:variant>
      <vt:variant>
        <vt:i4>3735614</vt:i4>
      </vt:variant>
      <vt:variant>
        <vt:i4>18</vt:i4>
      </vt:variant>
      <vt:variant>
        <vt:i4>0</vt:i4>
      </vt:variant>
      <vt:variant>
        <vt:i4>5</vt:i4>
      </vt:variant>
      <vt:variant>
        <vt:lpwstr>https://www.nabita.org/training/vraww/</vt:lpwstr>
      </vt:variant>
      <vt:variant>
        <vt:lpwstr/>
      </vt:variant>
      <vt:variant>
        <vt:i4>1048585</vt:i4>
      </vt:variant>
      <vt:variant>
        <vt:i4>15</vt:i4>
      </vt:variant>
      <vt:variant>
        <vt:i4>0</vt:i4>
      </vt:variant>
      <vt:variant>
        <vt:i4>5</vt:i4>
      </vt:variant>
      <vt:variant>
        <vt:lpwstr>https://www.nabita.org/training/sivra-35/</vt:lpwstr>
      </vt:variant>
      <vt:variant>
        <vt:lpwstr/>
      </vt:variant>
      <vt:variant>
        <vt:i4>3276912</vt:i4>
      </vt:variant>
      <vt:variant>
        <vt:i4>12</vt:i4>
      </vt:variant>
      <vt:variant>
        <vt:i4>0</vt:i4>
      </vt:variant>
      <vt:variant>
        <vt:i4>5</vt:i4>
      </vt:variant>
      <vt:variant>
        <vt:lpwstr>https://www.nabita.org/training/nabita-risk-rubric/</vt:lpwstr>
      </vt:variant>
      <vt:variant>
        <vt:lpwstr/>
      </vt:variant>
      <vt:variant>
        <vt:i4>1704044</vt:i4>
      </vt:variant>
      <vt:variant>
        <vt:i4>9</vt:i4>
      </vt:variant>
      <vt:variant>
        <vt:i4>0</vt:i4>
      </vt:variant>
      <vt:variant>
        <vt:i4>5</vt:i4>
      </vt:variant>
      <vt:variant>
        <vt:lpwstr/>
      </vt:variant>
      <vt:variant>
        <vt:lpwstr>_APPENDIX_I:_ATIXA</vt:lpwstr>
      </vt:variant>
      <vt:variant>
        <vt:i4>4980759</vt:i4>
      </vt:variant>
      <vt:variant>
        <vt:i4>6</vt:i4>
      </vt:variant>
      <vt:variant>
        <vt:i4>0</vt:i4>
      </vt:variant>
      <vt:variant>
        <vt:i4>5</vt:i4>
      </vt:variant>
      <vt:variant>
        <vt:lpwstr/>
      </vt:variant>
      <vt:variant>
        <vt:lpwstr>Section20</vt:lpwstr>
      </vt:variant>
      <vt:variant>
        <vt:i4>7077893</vt:i4>
      </vt:variant>
      <vt:variant>
        <vt:i4>3</vt:i4>
      </vt:variant>
      <vt:variant>
        <vt:i4>0</vt:i4>
      </vt:variant>
      <vt:variant>
        <vt:i4>5</vt:i4>
      </vt:variant>
      <vt:variant>
        <vt:lpwstr/>
      </vt:variant>
      <vt:variant>
        <vt:lpwstr>_APPENDIX_G:_VIOLENCE</vt:lpwstr>
      </vt:variant>
      <vt:variant>
        <vt:i4>2490422</vt:i4>
      </vt:variant>
      <vt:variant>
        <vt:i4>0</vt:i4>
      </vt:variant>
      <vt:variant>
        <vt:i4>0</vt:i4>
      </vt:variant>
      <vt:variant>
        <vt:i4>5</vt:i4>
      </vt:variant>
      <vt:variant>
        <vt:lpwstr>http://www.eeoc.gov/field/index.cfm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Hambleton</dc:creator>
  <cp:keywords/>
  <dc:description/>
  <cp:lastModifiedBy>Megan Calel</cp:lastModifiedBy>
  <cp:revision>2</cp:revision>
  <dcterms:created xsi:type="dcterms:W3CDTF">2024-06-05T15:08:00Z</dcterms:created>
  <dcterms:modified xsi:type="dcterms:W3CDTF">2024-06-05T15:08:00Z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0x01010054F52A2AB09B3748A7BAB745804E1DD8</vt:lpwstr>
  </property>
  <property fmtid="{D5CDD505-2E9C-101B-9397-08002B2CF9AE}" pid="3" name="GrammarlyDocumentId">
    <vt:lpwstr>621aa9444d2fb0d22283a177da4171ed5aa0fb076cd25e7b195a379ebbf4758b</vt:lpwstr>
  </property>
</Properties>
</file>